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E5740" w14:textId="54C4D7EF" w:rsidR="008C20F8" w:rsidRPr="00955121" w:rsidRDefault="00A8502D" w:rsidP="005E256A">
      <w:pPr>
        <w:spacing w:before="120" w:after="120" w:line="240" w:lineRule="auto"/>
        <w:ind w:firstLine="720"/>
        <w:jc w:val="both"/>
        <w:rPr>
          <w:rFonts w:asciiTheme="majorHAnsi" w:hAnsiTheme="majorHAnsi" w:cstheme="majorHAnsi"/>
          <w:b/>
          <w:bCs/>
          <w:sz w:val="24"/>
          <w:szCs w:val="24"/>
          <w:lang w:val="hu-HU"/>
        </w:rPr>
      </w:pPr>
      <w:bookmarkStart w:id="0" w:name="_Toc112402972"/>
      <w:r w:rsidRPr="00955121">
        <w:rPr>
          <w:rFonts w:asciiTheme="majorHAnsi" w:eastAsiaTheme="majorEastAsia" w:hAnsiTheme="majorHAnsi" w:cstheme="majorBidi"/>
          <w:b/>
          <w:bCs/>
          <w:sz w:val="24"/>
          <w:szCs w:val="24"/>
          <w:lang w:val="hu-HU"/>
        </w:rPr>
        <w:t>TỔ CHỨC TÀI CHÍNH VI MÔ</w:t>
      </w:r>
      <w:bookmarkEnd w:id="0"/>
      <w:r w:rsidR="00FD164D">
        <w:rPr>
          <w:rFonts w:asciiTheme="majorHAnsi" w:eastAsiaTheme="majorEastAsia" w:hAnsiTheme="majorHAnsi" w:cstheme="majorBidi"/>
          <w:b/>
          <w:bCs/>
          <w:sz w:val="24"/>
          <w:szCs w:val="24"/>
          <w:lang w:val="hu-HU"/>
        </w:rPr>
        <w:t xml:space="preserve"> </w:t>
      </w:r>
      <w:r w:rsidRPr="00955121">
        <w:rPr>
          <w:rFonts w:asciiTheme="majorHAnsi" w:hAnsiTheme="majorHAnsi" w:cstheme="majorHAnsi"/>
          <w:b/>
          <w:bCs/>
          <w:sz w:val="24"/>
          <w:szCs w:val="24"/>
          <w:lang w:val="hu-HU"/>
        </w:rPr>
        <w:t>(</w:t>
      </w:r>
      <w:r w:rsidR="00D2683E">
        <w:rPr>
          <w:rFonts w:asciiTheme="majorHAnsi" w:hAnsiTheme="majorHAnsi" w:cstheme="majorHAnsi"/>
          <w:b/>
          <w:bCs/>
          <w:sz w:val="24"/>
          <w:szCs w:val="24"/>
          <w:lang w:val="hu-HU"/>
        </w:rPr>
        <w:t>M</w:t>
      </w:r>
      <w:bookmarkStart w:id="1" w:name="_GoBack"/>
      <w:bookmarkEnd w:id="1"/>
      <w:r w:rsidRPr="00955121">
        <w:rPr>
          <w:rFonts w:asciiTheme="majorHAnsi" w:hAnsiTheme="majorHAnsi" w:cstheme="majorHAnsi"/>
          <w:b/>
          <w:bCs/>
          <w:sz w:val="24"/>
          <w:szCs w:val="24"/>
          <w:lang w:val="hu-HU"/>
        </w:rPr>
        <w:t xml:space="preserve">icrofinance </w:t>
      </w:r>
      <w:r w:rsidR="00CA4A6C">
        <w:rPr>
          <w:rFonts w:asciiTheme="majorHAnsi" w:hAnsiTheme="majorHAnsi" w:cstheme="majorHAnsi"/>
          <w:b/>
          <w:bCs/>
          <w:sz w:val="24"/>
          <w:szCs w:val="24"/>
          <w:lang w:val="hu-HU"/>
        </w:rPr>
        <w:t>i</w:t>
      </w:r>
      <w:r w:rsidRPr="00955121">
        <w:rPr>
          <w:rFonts w:asciiTheme="majorHAnsi" w:hAnsiTheme="majorHAnsi" w:cstheme="majorHAnsi"/>
          <w:b/>
          <w:bCs/>
          <w:sz w:val="24"/>
          <w:szCs w:val="24"/>
          <w:lang w:val="hu-HU"/>
        </w:rPr>
        <w:t>nstitution)</w:t>
      </w:r>
      <w:r w:rsidR="00810E31">
        <w:rPr>
          <w:rFonts w:asciiTheme="majorHAnsi" w:hAnsiTheme="majorHAnsi" w:cstheme="majorHAnsi"/>
          <w:b/>
          <w:bCs/>
          <w:sz w:val="24"/>
          <w:szCs w:val="24"/>
          <w:lang w:val="hu-HU"/>
        </w:rPr>
        <w:t>,</w:t>
      </w:r>
      <w:r w:rsidR="00810E31">
        <w:rPr>
          <w:rFonts w:ascii="Times New Roman" w:eastAsia="PMingLiU" w:hAnsi="Times New Roman" w:cs="Times New Roman"/>
          <w:sz w:val="28"/>
          <w:szCs w:val="28"/>
          <w:lang w:val="hu-HU"/>
        </w:rPr>
        <w:t xml:space="preserve"> </w:t>
      </w:r>
      <w:r w:rsidR="008C20F8" w:rsidRPr="00A8502D">
        <w:rPr>
          <w:rFonts w:ascii="Times New Roman" w:eastAsia="PMingLiU" w:hAnsi="Times New Roman" w:cs="Times New Roman"/>
          <w:sz w:val="28"/>
          <w:szCs w:val="28"/>
          <w:lang w:val="hu-HU"/>
        </w:rPr>
        <w:t>những tổ chức tài chính cung cấp một số dịch vụ tài chính nhỏ, đơn giản cho các gia đình, cá nhân có thu nhập thấp gọi chung là dịch vụ tài chính vi mô. Các dịch vụ tài chính vi mô bao gồm tiết kiệm, tín dụng, cung cấp dịch vụ bảo hểm và thanh toán cho khách hàng có thu nhập thấp; các dịch vụ trung gian xã hội như thành lập nhóm, phát triển cộng đồng, đào tạo, bồi dưỡng kiến thức và quản lý tài chính hay chuyển giao khoa học kỹ thuật…</w:t>
      </w:r>
    </w:p>
    <w:p w14:paraId="5423D018" w14:textId="444E9ABE" w:rsidR="00A8502D" w:rsidRPr="00A8502D" w:rsidRDefault="008C20F8" w:rsidP="00955121">
      <w:pPr>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Theo Ngân hàng Phát triển châu Á, TCTCVM là </w:t>
      </w:r>
      <w:r w:rsidR="00A8502D" w:rsidRPr="00A8502D">
        <w:rPr>
          <w:rFonts w:ascii="Times New Roman" w:eastAsia="PMingLiU" w:hAnsi="Times New Roman" w:cs="Times New Roman"/>
          <w:sz w:val="28"/>
          <w:szCs w:val="28"/>
          <w:lang w:val="hu-HU"/>
        </w:rPr>
        <w:t xml:space="preserve">một dạng doanh nghiệp xã hội với mục tiêu cung cấp các dịch vụ tài chính đa dạng nhằm đáp ứng nhu cầu của các cá nhân, hộ gia đình có thu nhập thấp và doanh nghiệp siêu nhỏ. Theo đó, </w:t>
      </w:r>
      <w:r w:rsidR="00EA15F2">
        <w:rPr>
          <w:rFonts w:ascii="Times New Roman" w:eastAsia="PMingLiU" w:hAnsi="Times New Roman" w:cs="Times New Roman"/>
          <w:sz w:val="28"/>
          <w:szCs w:val="28"/>
          <w:lang w:val="hu-HU"/>
        </w:rPr>
        <w:t>TCTCVM</w:t>
      </w:r>
      <w:r w:rsidR="00A8502D" w:rsidRPr="00A8502D">
        <w:rPr>
          <w:rFonts w:ascii="Times New Roman" w:eastAsia="PMingLiU" w:hAnsi="Times New Roman" w:cs="Times New Roman"/>
          <w:sz w:val="28"/>
          <w:szCs w:val="28"/>
          <w:lang w:val="hu-HU"/>
        </w:rPr>
        <w:t xml:space="preserve"> thông qua việc tiến hành các hoạt động tài chính vi mô tạo nguồn thu nhập để phát triển, đồng thời thực hiện mục tiêu xã hội của mình. Nói cách khác, lợi nhuận không phải là mục tiêu ưu tiên đối với các </w:t>
      </w:r>
      <w:r w:rsidR="00EA15F2">
        <w:rPr>
          <w:rFonts w:ascii="Times New Roman" w:eastAsia="PMingLiU" w:hAnsi="Times New Roman" w:cs="Times New Roman"/>
          <w:sz w:val="28"/>
          <w:szCs w:val="28"/>
          <w:lang w:val="hu-HU"/>
        </w:rPr>
        <w:t>TCTCVM</w:t>
      </w:r>
      <w:r w:rsidR="00A8502D" w:rsidRPr="00A8502D">
        <w:rPr>
          <w:rFonts w:ascii="Times New Roman" w:eastAsia="PMingLiU" w:hAnsi="Times New Roman" w:cs="Times New Roman"/>
          <w:sz w:val="28"/>
          <w:szCs w:val="28"/>
          <w:lang w:val="hu-HU"/>
        </w:rPr>
        <w:t>.</w:t>
      </w:r>
    </w:p>
    <w:p w14:paraId="7CF2FC2F" w14:textId="2A44211F"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shd w:val="clear" w:color="auto" w:fill="FFFFFF"/>
          <w:lang w:val="hu-HU"/>
        </w:rPr>
        <w:t xml:space="preserve">Ở một cách tiếp cận khác, </w:t>
      </w:r>
      <w:r w:rsidR="005458F8">
        <w:rPr>
          <w:rFonts w:ascii="Times New Roman" w:eastAsia="PMingLiU" w:hAnsi="Times New Roman" w:cs="Times New Roman"/>
          <w:sz w:val="28"/>
          <w:szCs w:val="28"/>
          <w:shd w:val="clear" w:color="auto" w:fill="FFFFFF"/>
          <w:lang w:val="hu-HU"/>
        </w:rPr>
        <w:t>Nhóm tư vấn hỗ trợ người nghèo (</w:t>
      </w:r>
      <w:r w:rsidRPr="00A8502D">
        <w:rPr>
          <w:rFonts w:ascii="Times New Roman" w:eastAsia="PMingLiU" w:hAnsi="Times New Roman" w:cs="Times New Roman"/>
          <w:sz w:val="28"/>
          <w:szCs w:val="28"/>
          <w:shd w:val="clear" w:color="auto" w:fill="FFFFFF"/>
          <w:lang w:val="hu-HU"/>
        </w:rPr>
        <w:t>CGAP</w:t>
      </w:r>
      <w:r w:rsidR="005458F8">
        <w:rPr>
          <w:rFonts w:ascii="Times New Roman" w:eastAsia="PMingLiU" w:hAnsi="Times New Roman" w:cs="Times New Roman"/>
          <w:sz w:val="28"/>
          <w:szCs w:val="28"/>
          <w:shd w:val="clear" w:color="auto" w:fill="FFFFFF"/>
          <w:lang w:val="hu-HU"/>
        </w:rPr>
        <w:t>)</w:t>
      </w:r>
      <w:r w:rsidRPr="00A8502D">
        <w:rPr>
          <w:rFonts w:ascii="Times New Roman" w:eastAsia="PMingLiU" w:hAnsi="Times New Roman" w:cs="Times New Roman"/>
          <w:sz w:val="28"/>
          <w:szCs w:val="28"/>
          <w:shd w:val="clear" w:color="auto" w:fill="FFFFFF"/>
          <w:lang w:val="hu-HU"/>
        </w:rPr>
        <w:t xml:space="preserve"> cho rằng, các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w:t>
      </w:r>
      <w:r w:rsidRPr="00A8502D">
        <w:rPr>
          <w:rFonts w:ascii="Times New Roman" w:eastAsia="PMingLiU" w:hAnsi="Times New Roman" w:cs="Times New Roman"/>
          <w:sz w:val="28"/>
          <w:szCs w:val="28"/>
          <w:shd w:val="clear" w:color="auto" w:fill="FFFFFF"/>
          <w:lang w:val="hu-HU"/>
        </w:rPr>
        <w:t xml:space="preserve">bao gồm các ngân hàng thương mại, các ngân hàng phát triển Nhà nước cung cấp dịch vụ tài chính vi mô (các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ngân hàng</w:t>
      </w:r>
      <w:r w:rsidRPr="00A8502D">
        <w:rPr>
          <w:rFonts w:ascii="Times New Roman" w:eastAsia="PMingLiU" w:hAnsi="Times New Roman" w:cs="Times New Roman"/>
          <w:sz w:val="28"/>
          <w:szCs w:val="28"/>
          <w:shd w:val="clear" w:color="auto" w:fill="FFFFFF"/>
          <w:lang w:val="hu-HU"/>
        </w:rPr>
        <w:t xml:space="preserve">) và các hợp tác xã tài chính gồm các hiệp hội tín dụng, các tổ chức được cấp giấy phép và không được cấp giấy phép khác (các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w:t>
      </w:r>
      <w:r w:rsidRPr="00A8502D">
        <w:rPr>
          <w:rFonts w:ascii="Times New Roman" w:eastAsia="PMingLiU" w:hAnsi="Times New Roman" w:cs="Times New Roman"/>
          <w:sz w:val="28"/>
          <w:szCs w:val="28"/>
          <w:shd w:val="clear" w:color="auto" w:fill="FFFFFF"/>
          <w:lang w:val="hu-HU"/>
        </w:rPr>
        <w:t xml:space="preserve">phi ngân hàng). Có thể nói, </w:t>
      </w:r>
      <w:r w:rsidR="00C04685">
        <w:rPr>
          <w:rFonts w:ascii="Times New Roman" w:eastAsia="PMingLiU" w:hAnsi="Times New Roman" w:cs="Times New Roman"/>
          <w:sz w:val="28"/>
          <w:szCs w:val="28"/>
          <w:shd w:val="clear" w:color="auto" w:fill="FFFFFF"/>
          <w:lang w:val="hu-HU"/>
        </w:rPr>
        <w:t>Nhóm tư vấn hỗ trợ người nghèo</w:t>
      </w:r>
      <w:r w:rsidRPr="00A8502D">
        <w:rPr>
          <w:rFonts w:ascii="Times New Roman" w:eastAsia="PMingLiU" w:hAnsi="Times New Roman" w:cs="Times New Roman"/>
          <w:sz w:val="28"/>
          <w:szCs w:val="28"/>
          <w:shd w:val="clear" w:color="auto" w:fill="FFFFFF"/>
          <w:lang w:val="hu-HU"/>
        </w:rPr>
        <w:t xml:space="preserve"> đang tiếp cận theo hướng ngành tài chính vi mô chứ không </w:t>
      </w:r>
      <w:r w:rsidR="00CF6936" w:rsidRPr="00A8502D">
        <w:rPr>
          <w:rFonts w:ascii="Times New Roman" w:eastAsia="PMingLiU" w:hAnsi="Times New Roman" w:cs="Times New Roman"/>
          <w:sz w:val="28"/>
          <w:szCs w:val="28"/>
          <w:shd w:val="clear" w:color="auto" w:fill="FFFFFF"/>
          <w:lang w:val="hu-HU"/>
        </w:rPr>
        <w:t>ph</w:t>
      </w:r>
      <w:r w:rsidR="00CF6936">
        <w:rPr>
          <w:rFonts w:ascii="Times New Roman" w:eastAsia="PMingLiU" w:hAnsi="Times New Roman" w:cs="Times New Roman"/>
          <w:sz w:val="28"/>
          <w:szCs w:val="28"/>
          <w:shd w:val="clear" w:color="auto" w:fill="FFFFFF"/>
          <w:lang w:val="hu-HU"/>
        </w:rPr>
        <w:t>ả</w:t>
      </w:r>
      <w:r w:rsidR="00CF6936" w:rsidRPr="00A8502D">
        <w:rPr>
          <w:rFonts w:ascii="Times New Roman" w:eastAsia="PMingLiU" w:hAnsi="Times New Roman" w:cs="Times New Roman"/>
          <w:sz w:val="28"/>
          <w:szCs w:val="28"/>
          <w:shd w:val="clear" w:color="auto" w:fill="FFFFFF"/>
          <w:lang w:val="hu-HU"/>
        </w:rPr>
        <w:t xml:space="preserve">i </w:t>
      </w:r>
      <w:r w:rsidRPr="00A8502D">
        <w:rPr>
          <w:rFonts w:ascii="Times New Roman" w:eastAsia="PMingLiU" w:hAnsi="Times New Roman" w:cs="Times New Roman"/>
          <w:sz w:val="28"/>
          <w:szCs w:val="28"/>
          <w:shd w:val="clear" w:color="auto" w:fill="FFFFFF"/>
          <w:lang w:val="hu-HU"/>
        </w:rPr>
        <w:t xml:space="preserve">tiếp cận theo hướng </w:t>
      </w:r>
      <w:r w:rsidR="00EA15F2">
        <w:rPr>
          <w:rFonts w:ascii="Times New Roman" w:eastAsia="PMingLiU" w:hAnsi="Times New Roman" w:cs="Times New Roman"/>
          <w:sz w:val="28"/>
          <w:szCs w:val="28"/>
          <w:shd w:val="clear" w:color="auto" w:fill="FFFFFF"/>
          <w:lang w:val="hu-HU"/>
        </w:rPr>
        <w:t>TCTCVM</w:t>
      </w:r>
      <w:r w:rsidRPr="00A8502D">
        <w:rPr>
          <w:rFonts w:ascii="Times New Roman" w:eastAsia="PMingLiU" w:hAnsi="Times New Roman" w:cs="Times New Roman"/>
          <w:sz w:val="28"/>
          <w:szCs w:val="28"/>
          <w:shd w:val="clear" w:color="auto" w:fill="FFFFFF"/>
          <w:lang w:val="hu-HU"/>
        </w:rPr>
        <w:t xml:space="preserve">. Nói cách khác, </w:t>
      </w:r>
      <w:r w:rsidR="00C04685">
        <w:rPr>
          <w:rFonts w:ascii="Times New Roman" w:eastAsia="PMingLiU" w:hAnsi="Times New Roman" w:cs="Times New Roman"/>
          <w:sz w:val="28"/>
          <w:szCs w:val="28"/>
          <w:shd w:val="clear" w:color="auto" w:fill="FFFFFF"/>
          <w:lang w:val="hu-HU"/>
        </w:rPr>
        <w:t>Nhóm tư vấn hỗ trợ người nghèo</w:t>
      </w:r>
      <w:r w:rsidRPr="00A8502D">
        <w:rPr>
          <w:rFonts w:ascii="Times New Roman" w:eastAsia="PMingLiU" w:hAnsi="Times New Roman" w:cs="Times New Roman"/>
          <w:sz w:val="28"/>
          <w:szCs w:val="28"/>
          <w:shd w:val="clear" w:color="auto" w:fill="FFFFFF"/>
          <w:lang w:val="hu-HU"/>
        </w:rPr>
        <w:t xml:space="preserve"> tiếp cận theo hướng các tổ chức có cung ứng dịch vụ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shd w:val="clear" w:color="auto" w:fill="FFFFFF"/>
          <w:lang w:val="hu-HU"/>
        </w:rPr>
        <w:t xml:space="preserve"> mà không cần bận tâm đến việc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shd w:val="clear" w:color="auto" w:fill="FFFFFF"/>
          <w:lang w:val="hu-HU"/>
        </w:rPr>
        <w:t xml:space="preserve"> có phải là hoạt động chủ yếu của tổ chức đó hay không.</w:t>
      </w:r>
    </w:p>
    <w:p w14:paraId="10C1A49E" w14:textId="4ED66F20"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t xml:space="preserve">Theo Trung tâm tài chính vi mô và Phát triển,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là tổ chức cung cấp dịch vụ tài chính cho những người có thu nhập thấp. Các khoản vay mà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cung cấp chủ yếu là những món vay nhỏ và chỉ nhận gửi những khoản tiết kiệm rất nhỏ từ người vay chứ không phải từ công chúng.</w:t>
      </w:r>
    </w:p>
    <w:p w14:paraId="6FD4F984" w14:textId="52217EBC"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t>Theo Luật Các tổ chức tín dụng</w:t>
      </w:r>
      <w:r w:rsidR="00F65E16">
        <w:rPr>
          <w:rFonts w:ascii="Times New Roman" w:eastAsia="PMingLiU" w:hAnsi="Times New Roman" w:cs="Times New Roman"/>
          <w:sz w:val="28"/>
          <w:szCs w:val="28"/>
          <w:lang w:val="hu-HU"/>
        </w:rPr>
        <w:t xml:space="preserve"> năm 2010</w:t>
      </w:r>
      <w:r w:rsidRPr="00A8502D">
        <w:rPr>
          <w:rFonts w:ascii="Times New Roman" w:eastAsia="PMingLiU" w:hAnsi="Times New Roman" w:cs="Times New Roman"/>
          <w:sz w:val="28"/>
          <w:szCs w:val="28"/>
          <w:lang w:val="hu-HU"/>
        </w:rPr>
        <w:t xml:space="preserve">,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“là loại hình tổ chức tín dụng chủ yếu thực hiện một số hoạt động ngân hàng nhằm đáp ứng nhu cầu của các cá nhân, hộ gia đình có thu nhập thấp và doanh nghiệp siêu nhỏ”. </w:t>
      </w:r>
    </w:p>
    <w:p w14:paraId="58753F07" w14:textId="5EEA6CDC"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t xml:space="preserve">Khái niệm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khác nhau tại nhiều quốc gia khác nhau, tùy thuộc hình thức pháp lý, nhiệm vụ, phương pháp, hay mức độ phát triển, nhưng đều tập trung vào một nhóm khách hàng thu nhập thấp, dễ bị tổn thương hơn khách hàng thông thường của ngân hàng. Vì vậy,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thường được phân loại thành 02 loại hình: (i) </w:t>
      </w:r>
      <w:r w:rsidR="00852205">
        <w:rPr>
          <w:rFonts w:ascii="Times New Roman" w:eastAsia="PMingLiU" w:hAnsi="Times New Roman" w:cs="Times New Roman"/>
          <w:sz w:val="28"/>
          <w:szCs w:val="28"/>
          <w:lang w:val="hu-HU"/>
        </w:rPr>
        <w:t>t</w:t>
      </w:r>
      <w:r w:rsidR="00852205" w:rsidRPr="00A8502D">
        <w:rPr>
          <w:rFonts w:ascii="Times New Roman" w:eastAsia="PMingLiU" w:hAnsi="Times New Roman" w:cs="Times New Roman"/>
          <w:sz w:val="28"/>
          <w:szCs w:val="28"/>
          <w:lang w:val="hu-HU"/>
        </w:rPr>
        <w:t xml:space="preserve">ổ </w:t>
      </w:r>
      <w:r w:rsidRPr="00A8502D">
        <w:rPr>
          <w:rFonts w:ascii="Times New Roman" w:eastAsia="PMingLiU" w:hAnsi="Times New Roman" w:cs="Times New Roman"/>
          <w:sz w:val="28"/>
          <w:szCs w:val="28"/>
          <w:lang w:val="hu-HU"/>
        </w:rPr>
        <w:t xml:space="preserve">chức chính thức (như ngân hàng,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được thành lập theo Luật ngân hàng/Luật Các tổ chức tín dụng); (ii) </w:t>
      </w:r>
      <w:r w:rsidR="00852205">
        <w:rPr>
          <w:rFonts w:ascii="Times New Roman" w:eastAsia="PMingLiU" w:hAnsi="Times New Roman" w:cs="Times New Roman"/>
          <w:sz w:val="28"/>
          <w:szCs w:val="28"/>
          <w:lang w:val="hu-HU"/>
        </w:rPr>
        <w:t>t</w:t>
      </w:r>
      <w:r w:rsidR="00852205" w:rsidRPr="00A8502D">
        <w:rPr>
          <w:rFonts w:ascii="Times New Roman" w:eastAsia="PMingLiU" w:hAnsi="Times New Roman" w:cs="Times New Roman"/>
          <w:sz w:val="28"/>
          <w:szCs w:val="28"/>
          <w:lang w:val="hu-HU"/>
        </w:rPr>
        <w:t xml:space="preserve">ổ </w:t>
      </w:r>
      <w:r w:rsidRPr="00A8502D">
        <w:rPr>
          <w:rFonts w:ascii="Times New Roman" w:eastAsia="PMingLiU" w:hAnsi="Times New Roman" w:cs="Times New Roman"/>
          <w:sz w:val="28"/>
          <w:szCs w:val="28"/>
          <w:lang w:val="hu-HU"/>
        </w:rPr>
        <w:t xml:space="preserve">chức bán chính thức (các chương trình, dự án có cung cấp các dịch vụ tài chính vi mô, hoạt động phi lợi nhuận và được đăng ký hoạt động với một cơ quan quản lý nhà nước). </w:t>
      </w:r>
    </w:p>
    <w:p w14:paraId="05C0708D" w14:textId="77777777" w:rsidR="00A8502D" w:rsidRPr="00955121" w:rsidRDefault="00A8502D" w:rsidP="00955121">
      <w:pPr>
        <w:widowControl w:val="0"/>
        <w:spacing w:before="120" w:after="120" w:line="240" w:lineRule="auto"/>
        <w:ind w:firstLine="720"/>
        <w:rPr>
          <w:rFonts w:ascii="Times New Roman" w:eastAsia="PMingLiU" w:hAnsi="Times New Roman" w:cs="Times New Roman"/>
          <w:sz w:val="28"/>
          <w:szCs w:val="28"/>
          <w:lang w:val="hu-HU"/>
        </w:rPr>
      </w:pPr>
      <w:r w:rsidRPr="00955121">
        <w:rPr>
          <w:rFonts w:ascii="Times New Roman" w:eastAsia="PMingLiU" w:hAnsi="Times New Roman" w:cs="Times New Roman"/>
          <w:sz w:val="28"/>
          <w:szCs w:val="28"/>
          <w:lang w:val="hu-HU"/>
        </w:rPr>
        <w:t>Lịch sử hình thành và khái niệm về tài chính vi mô</w:t>
      </w:r>
    </w:p>
    <w:p w14:paraId="42AA8273" w14:textId="77777777" w:rsidR="00A8502D" w:rsidRPr="00A8502D" w:rsidRDefault="00A8502D" w:rsidP="00955121">
      <w:pPr>
        <w:widowControl w:val="0"/>
        <w:spacing w:before="120" w:after="120" w:line="240" w:lineRule="auto"/>
        <w:ind w:left="90" w:firstLine="63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lastRenderedPageBreak/>
        <w:t xml:space="preserve">Tài chính vi mô đã được đề cập tới từ thế kỷ XV tại châu Âu, với việc giáo hội Công giáo thành lập những cửa hàng cho vay thế chấp để bảo vệ người dân khỏi nhóm người cho vay nặng lãi với lãi suất rất cao. Những cửa hàng cho vay thế chấp này đã được phát triển lan ra khắp châu lục. Cho đến đầu năm 1720, nhiều tổ chức tín dụng và tiết kiệm chính thức được thành lập tại Ireland với quỹ cho vay được huy động nguồn lực từ các nguồn tài trợ để cho vay với cơ chế miễn phí lãi suất và cho vay trả góp theo tuần. </w:t>
      </w:r>
    </w:p>
    <w:p w14:paraId="225B5C95" w14:textId="77777777" w:rsidR="00A8502D" w:rsidRPr="00A8502D" w:rsidRDefault="00A8502D" w:rsidP="00955121">
      <w:pPr>
        <w:widowControl w:val="0"/>
        <w:spacing w:before="120" w:after="120" w:line="240" w:lineRule="auto"/>
        <w:ind w:left="90" w:firstLine="720"/>
        <w:jc w:val="both"/>
        <w:rPr>
          <w:rFonts w:ascii="Times New Roman" w:eastAsiaTheme="minorEastAsia" w:hAnsi="Times New Roman" w:cs="Times New Roman"/>
          <w:sz w:val="28"/>
          <w:szCs w:val="28"/>
          <w:lang w:val="hu-HU"/>
        </w:rPr>
      </w:pPr>
      <w:r w:rsidRPr="00A8502D">
        <w:rPr>
          <w:rFonts w:ascii="Times New Roman" w:eastAsia="PMingLiU" w:hAnsi="Times New Roman" w:cs="Times New Roman"/>
          <w:sz w:val="28"/>
          <w:szCs w:val="28"/>
          <w:lang w:val="hu-HU"/>
        </w:rPr>
        <w:t xml:space="preserve">Tại châu Á, khái niệm tài chính vi mô được Giáo sư Muhammad Yunus người Bangladesh đưa ra trong những năm 1970 đã nhận được sự quan tâm trên toàn thế giới - được coi là công cụ chính để cung cấp hỗ trợ tài chính cho người nghèo với mục tiêu xóa đói giảm nghèo và thúc đẩy sự phát triển trong các cộng đồng người nghèo. Mục tiêu là cấp những khoản tín dụng nhỏ (5-100$) cho những người dân Bangladesh bị bần cùng hóa sống tại các làng quê nghèo hẻo lánh. </w:t>
      </w:r>
      <w:r w:rsidRPr="00A8502D">
        <w:rPr>
          <w:rFonts w:ascii="Times New Roman" w:eastAsiaTheme="minorEastAsia" w:hAnsi="Times New Roman" w:cs="Times New Roman"/>
          <w:sz w:val="28"/>
          <w:szCs w:val="28"/>
          <w:lang w:val="hu-HU"/>
        </w:rPr>
        <w:t>Trong những thập kỉ gần đây, cung cấp các dịch vụ tài chính và các dịch vụ hỗ trợ cho người nghèo nhằm tạo dựng cơ sở thu nhập, cải thiện điều kiện sống được các quốc gia và các tổ chức quốc tế quan tâm phát triển. Thậm chí đã có đầy đủ những bằng chứng thành công về các mô hình cung cấp dịch vụ tài chính cho người nghèo và được biết đến với cụm từ tài chính vi mô, tương lai cho sự phát triển ngành này là rất rõ nét khi thu hút được đông đảo sự quan tâm của các Chính phủ, tổ chức đa phương, các nhà tài trợ và các doanh nghiệp.</w:t>
      </w:r>
    </w:p>
    <w:p w14:paraId="25FB7BB3" w14:textId="0F10B23E"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t xml:space="preserve">Tại Việt </w:t>
      </w:r>
      <w:r w:rsidR="000F2C31">
        <w:rPr>
          <w:rFonts w:ascii="Times New Roman" w:eastAsia="PMingLiU" w:hAnsi="Times New Roman" w:cs="Times New Roman"/>
          <w:sz w:val="28"/>
          <w:szCs w:val="28"/>
          <w:lang w:val="hu-HU"/>
        </w:rPr>
        <w:t>N</w:t>
      </w:r>
      <w:r w:rsidR="000F2C31" w:rsidRPr="00A8502D">
        <w:rPr>
          <w:rFonts w:ascii="Times New Roman" w:eastAsia="PMingLiU" w:hAnsi="Times New Roman" w:cs="Times New Roman"/>
          <w:sz w:val="28"/>
          <w:szCs w:val="28"/>
          <w:lang w:val="hu-HU"/>
        </w:rPr>
        <w:t>am</w:t>
      </w:r>
      <w:r w:rsidRPr="00A8502D">
        <w:rPr>
          <w:rFonts w:ascii="Times New Roman" w:eastAsia="PMingLiU" w:hAnsi="Times New Roman" w:cs="Times New Roman"/>
          <w:sz w:val="28"/>
          <w:szCs w:val="28"/>
          <w:lang w:val="hu-HU"/>
        </w:rPr>
        <w:t>, từ cuối những năm 80, hoạt động tài chính vi mô đã xuất hiện và được triển khai thông qua các chương trình dự án do các tổ chức quốc tế, tổ chức phi chính phủ quốc tế và các chương trình hỗ trợ phát triển chính thức song phương và đa phương tài trợ</w:t>
      </w:r>
      <w:r w:rsidRPr="00A8502D">
        <w:rPr>
          <w:rFonts w:ascii="Times New Roman" w:eastAsia="PMingLiU" w:hAnsi="Times New Roman" w:cs="Times New Roman"/>
          <w:bCs/>
          <w:sz w:val="28"/>
          <w:szCs w:val="28"/>
          <w:lang w:val="hu-HU"/>
        </w:rPr>
        <w:t xml:space="preserve">. Mặc dù các chương trình này thường tập trung vào mục tiêu xóa đói giảm nghèo, bình đẳng thu nhập, phương pháp thực hiện lại rất khác nhau. Một số dự án chỉ có mục đích duy nhất là cung cấp dịch vụ tài chính vi mô, trong khi ở các dự án khác, tài chính chỉ là một hợp phần của một chương trình rộng hơn. Cũng có những chương trình chỉ coi tài chính là một công cụ xã hội nhằm hỗ trợ cho một nhóm đối tượng đặc thù trong một giai đoạn nhất định. </w:t>
      </w:r>
      <w:r w:rsidRPr="00A8502D">
        <w:rPr>
          <w:rFonts w:ascii="Times New Roman" w:eastAsia="PMingLiU" w:hAnsi="Times New Roman" w:cs="Times New Roman"/>
          <w:sz w:val="28"/>
          <w:szCs w:val="28"/>
          <w:lang w:val="hu-HU"/>
        </w:rPr>
        <w:t>Sau gần 30 hoạt động, tài chính vi mô đã được nhìn nhận như một công cụ hữu hiệu trong chiến lược xóa đói giảm nghèo tại Việt Nam. Do đó, xây dựng và phát triển hệ thống tài chính vi mô an toàn, bền vững hướng đến phục vụ người nghèo, người có thu nhập thấp, các doanh nghiệp siêu nhỏ đã được Chính phủ đánh giá là một trong những mục tiêu trọng tâm đến năm 2020.</w:t>
      </w:r>
    </w:p>
    <w:p w14:paraId="3BC54504" w14:textId="5A348CF4"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t xml:space="preserve">Thuật ngữ tài chính vi mô thường được đề cập đến việc cung cấp các dịch vụ tài chính cho đối tượng khách hàng có thu nhập thấp. Các dịch vụ tài chính bao gồm tiết kiệm và tín dụng. Tuy nhiên, một vài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còn cung cấp dịch vụ bảo hiểm và thanh toán. Ngoài ra, một số tổ chức trung gian tài chính, </w:t>
      </w:r>
      <w:r w:rsidR="00EA15F2">
        <w:rPr>
          <w:rFonts w:ascii="Times New Roman" w:eastAsia="PMingLiU" w:hAnsi="Times New Roman" w:cs="Times New Roman"/>
          <w:sz w:val="28"/>
          <w:szCs w:val="28"/>
          <w:lang w:val="hu-HU"/>
        </w:rPr>
        <w:t>TCTCVM</w:t>
      </w:r>
      <w:r w:rsidRPr="00A8502D">
        <w:rPr>
          <w:rFonts w:ascii="Times New Roman" w:eastAsia="PMingLiU" w:hAnsi="Times New Roman" w:cs="Times New Roman"/>
          <w:sz w:val="28"/>
          <w:szCs w:val="28"/>
          <w:lang w:val="hu-HU"/>
        </w:rPr>
        <w:t xml:space="preserve"> còn cung cấp các dịch vụ xã hội như hình thành và phát triển hoạt động nhóm, đào tạo huấn luyện khả năng hiểu biết và quản lý tài chính đối với </w:t>
      </w:r>
      <w:r w:rsidRPr="00A8502D">
        <w:rPr>
          <w:rFonts w:ascii="Times New Roman" w:eastAsia="PMingLiU" w:hAnsi="Times New Roman" w:cs="Times New Roman"/>
          <w:sz w:val="28"/>
          <w:szCs w:val="28"/>
          <w:lang w:val="hu-HU"/>
        </w:rPr>
        <w:lastRenderedPageBreak/>
        <w:t>các thành viên trong nhóm. Vì vậy, định nghĩa của tài chính vi mô bao gồm cả trung gian về tài chính và trung gian về xã hội.</w:t>
      </w:r>
    </w:p>
    <w:p w14:paraId="19F56CC4" w14:textId="2D1053E5"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lang w:val="hu-HU"/>
        </w:rPr>
      </w:pPr>
      <w:r w:rsidRPr="00A8502D">
        <w:rPr>
          <w:rFonts w:ascii="Times New Roman" w:eastAsia="PMingLiU" w:hAnsi="Times New Roman" w:cs="Times New Roman"/>
          <w:sz w:val="28"/>
          <w:szCs w:val="28"/>
          <w:lang w:val="hu-HU"/>
        </w:rPr>
        <w:t>Trong giai đoạn hiện nay, ngoài thuật ngữ “Microcredit”</w:t>
      </w:r>
      <w:r w:rsidR="00605767">
        <w:rPr>
          <w:rFonts w:ascii="Times New Roman" w:eastAsia="PMingLiU" w:hAnsi="Times New Roman" w:cs="Times New Roman"/>
          <w:sz w:val="28"/>
          <w:szCs w:val="28"/>
          <w:lang w:val="hu-HU"/>
        </w:rPr>
        <w:t xml:space="preserve"> (tín dụng vi mô)</w:t>
      </w:r>
      <w:r w:rsidRPr="00A8502D">
        <w:rPr>
          <w:rFonts w:ascii="Times New Roman" w:eastAsia="PMingLiU" w:hAnsi="Times New Roman" w:cs="Times New Roman"/>
          <w:sz w:val="28"/>
          <w:szCs w:val="28"/>
          <w:lang w:val="hu-HU"/>
        </w:rPr>
        <w:t xml:space="preserve">, </w:t>
      </w:r>
      <w:r w:rsidR="00605767" w:rsidRPr="00A8502D">
        <w:rPr>
          <w:rFonts w:ascii="Times New Roman" w:eastAsia="PMingLiU" w:hAnsi="Times New Roman" w:cs="Times New Roman"/>
          <w:sz w:val="28"/>
          <w:szCs w:val="28"/>
          <w:lang w:val="hu-HU"/>
        </w:rPr>
        <w:t>“</w:t>
      </w:r>
      <w:r w:rsidRPr="00A8502D">
        <w:rPr>
          <w:rFonts w:ascii="Times New Roman" w:eastAsia="PMingLiU" w:hAnsi="Times New Roman" w:cs="Times New Roman"/>
          <w:sz w:val="28"/>
          <w:szCs w:val="28"/>
          <w:lang w:val="hu-HU"/>
        </w:rPr>
        <w:t>Microfinance</w:t>
      </w:r>
      <w:r w:rsidR="00605767">
        <w:rPr>
          <w:rFonts w:ascii="Times New Roman" w:eastAsia="PMingLiU" w:hAnsi="Times New Roman" w:cs="Times New Roman"/>
          <w:sz w:val="28"/>
          <w:szCs w:val="28"/>
          <w:lang w:val="hu-HU"/>
        </w:rPr>
        <w:t>” (tài chính vi mô)</w:t>
      </w:r>
      <w:r w:rsidRPr="00A8502D">
        <w:rPr>
          <w:rFonts w:ascii="Times New Roman" w:eastAsia="PMingLiU" w:hAnsi="Times New Roman" w:cs="Times New Roman"/>
          <w:sz w:val="28"/>
          <w:szCs w:val="28"/>
          <w:lang w:val="hu-HU"/>
        </w:rPr>
        <w:t xml:space="preserve"> thì một khái niệm cũng đang phổ biến là “Financial Inclusion” </w:t>
      </w:r>
      <w:r w:rsidR="00605767">
        <w:rPr>
          <w:rFonts w:ascii="Times New Roman" w:eastAsia="PMingLiU" w:hAnsi="Times New Roman" w:cs="Times New Roman"/>
          <w:sz w:val="28"/>
          <w:szCs w:val="28"/>
          <w:lang w:val="hu-HU"/>
        </w:rPr>
        <w:t>(tài chính toàn diện)</w:t>
      </w:r>
      <w:r w:rsidRPr="00A8502D">
        <w:rPr>
          <w:rFonts w:ascii="Times New Roman" w:eastAsia="PMingLiU" w:hAnsi="Times New Roman" w:cs="Times New Roman"/>
          <w:sz w:val="28"/>
          <w:szCs w:val="28"/>
          <w:lang w:val="hu-HU"/>
        </w:rPr>
        <w:t>– một khái niệm đang được chú ý để mở rộng phát triển chương trình tài chính toàn diện và tạo ra cách để thị trường tài chính ngày càng phục vụ tốt hơn cho người nghèo. Như vậy, dù ở góc độ nào, tài chính vi mô có thể được xem như những khoản vay nhỏ, được thiết kế riêng cho người nghèo, những người thường gặp những khó khăn nhất định trong việc tiếp cận vốn vay từ các ngân hàng thương mại. Thêm vào đó, ngoài việc cung cấp những khoản vay nhỏ, tài chính vi mô còn cung cấp một số dịch vụ tài chính như: tiền gửi tiết kiệm, bảo hiểm, tư vấn giáo dục tài chính… vì những người nghèo và rất nghèo có nhu cầu rất lớn đối với các sản phẩm tài chính, nhưng không tiếp cận được các thể chế tài chính chính thức.</w:t>
      </w:r>
    </w:p>
    <w:p w14:paraId="775A6B86" w14:textId="666F3734"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Đặc điểm hoạt động của </w:t>
      </w:r>
      <w:r w:rsidR="00EA15F2" w:rsidRPr="00955121">
        <w:rPr>
          <w:rFonts w:ascii="Times New Roman" w:eastAsia="Times New Roman" w:hAnsi="Times New Roman" w:cs="Times New Roman"/>
          <w:iCs/>
          <w:sz w:val="28"/>
          <w:szCs w:val="28"/>
          <w:lang w:val="hu-HU"/>
        </w:rPr>
        <w:t>TCTCVM</w:t>
      </w:r>
    </w:p>
    <w:p w14:paraId="62DBE917" w14:textId="77777777"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Khoản vay nhỏ, đặc trưng vốn lưu động: </w:t>
      </w:r>
    </w:p>
    <w:p w14:paraId="298A0979" w14:textId="184BC84D" w:rsidR="00A8502D" w:rsidRPr="00A8502D" w:rsidRDefault="00EA15F2" w:rsidP="00955121">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hu-HU"/>
        </w:rPr>
      </w:pPr>
      <w:r>
        <w:rPr>
          <w:rFonts w:ascii="Times New Roman" w:eastAsia="Times New Roman" w:hAnsi="Times New Roman" w:cs="Times New Roman"/>
          <w:sz w:val="28"/>
          <w:szCs w:val="28"/>
          <w:lang w:val="hu-HU"/>
        </w:rPr>
        <w:t>TCTCVM</w:t>
      </w:r>
      <w:r w:rsidR="00A8502D" w:rsidRPr="00A8502D">
        <w:rPr>
          <w:rFonts w:ascii="Times New Roman" w:eastAsia="Times New Roman" w:hAnsi="Times New Roman" w:cs="Times New Roman"/>
          <w:sz w:val="28"/>
          <w:szCs w:val="28"/>
          <w:lang w:val="hu-HU"/>
        </w:rPr>
        <w:t xml:space="preserve"> cấp tín dụng thường xuyên cho những khách hàng có thu nhập thấp (hội phụ nữ, nông dân…) vì vậy mà các khoản cho vay thường có giá trị rất nhỏ, thời gian ngắn và không có tài sản bảo đảm. chu kỳ vay lại thường xuyên với lãi suất áp dụng thường cao hơn so với khoản vay thông thường (cao hơn so với cho vay thương mại) và thường là các khoản vay ngắn hạn.</w:t>
      </w:r>
    </w:p>
    <w:p w14:paraId="2F9A32F0" w14:textId="77777777"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Thay thế tài sản thế chấp bằng tín chấp và tiết kiệm bắt buộc: </w:t>
      </w:r>
    </w:p>
    <w:p w14:paraId="49A0DBB5" w14:textId="77777777" w:rsidR="00A8502D" w:rsidRPr="00A8502D"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hu-HU"/>
        </w:rPr>
      </w:pPr>
      <w:r w:rsidRPr="00A8502D">
        <w:rPr>
          <w:rFonts w:ascii="Times New Roman" w:eastAsia="Times New Roman" w:hAnsi="Times New Roman" w:cs="Times New Roman"/>
          <w:sz w:val="28"/>
          <w:szCs w:val="28"/>
          <w:lang w:val="hu-HU"/>
        </w:rPr>
        <w:t>Khách hàng thường không có tài sản thế chấp nếu có thì giá trị cũng rất thấp vì khách hàng là những người nghèo/người thu nhập thấp không có khả năng đáp ứng về tài sản bảo đảm, do đó không thể đi vay được. Chính vì vậy,các khoản tín dụng vi mô thường được cung cấp dưới hình thức tín chấp hoặc thông qua các khoản tiết kiệm bắt buộc.</w:t>
      </w:r>
    </w:p>
    <w:p w14:paraId="3B198346" w14:textId="77777777"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Tổ chức điểm thu phát vốn thuận tiện ngay tại khu dân cư sinh sống: </w:t>
      </w:r>
    </w:p>
    <w:p w14:paraId="5CCDEA12" w14:textId="2E4FED2B" w:rsidR="00A8502D" w:rsidRPr="00A8502D"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hu-HU"/>
        </w:rPr>
      </w:pPr>
      <w:r w:rsidRPr="00A8502D">
        <w:rPr>
          <w:rFonts w:ascii="Times New Roman" w:eastAsia="Times New Roman" w:hAnsi="Times New Roman" w:cs="Times New Roman"/>
          <w:sz w:val="28"/>
          <w:szCs w:val="28"/>
          <w:lang w:val="hu-HU"/>
        </w:rPr>
        <w:t xml:space="preserve">Để khách hàng có thể tiếp cận một cách nhanh nhất và tốt nhất với tài chính vi mô thì </w:t>
      </w:r>
      <w:r w:rsidR="00EA15F2">
        <w:rPr>
          <w:rFonts w:ascii="Times New Roman" w:eastAsia="Times New Roman" w:hAnsi="Times New Roman" w:cs="Times New Roman"/>
          <w:sz w:val="28"/>
          <w:szCs w:val="28"/>
          <w:lang w:val="hu-HU"/>
        </w:rPr>
        <w:t>TCTCVM</w:t>
      </w:r>
      <w:r w:rsidRPr="00A8502D">
        <w:rPr>
          <w:rFonts w:ascii="Times New Roman" w:eastAsia="Times New Roman" w:hAnsi="Times New Roman" w:cs="Times New Roman"/>
          <w:sz w:val="28"/>
          <w:szCs w:val="28"/>
          <w:lang w:val="hu-HU"/>
        </w:rPr>
        <w:t xml:space="preserve"> phải có những mạng lưới thu/phát ngay tại khu sinh sống của dân cư, thuận lợi tốt nhất cho việc sử dụng các sản phẩm vì nếu như ở xa khu dân cư thì việc đi lại để đến các phòng giao dịch sẽ khó khăn chi phí tốn kém mà điều đó làm giảm khả năng sử dụng sản phẩm của khách hàng tài chính vi mô.</w:t>
      </w:r>
    </w:p>
    <w:p w14:paraId="6299A5FB" w14:textId="77777777"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Phương pháp hoàn trả dần với luồng tiền mặt của người dân: </w:t>
      </w:r>
    </w:p>
    <w:p w14:paraId="3B81682C" w14:textId="4B4A5121" w:rsidR="00A8502D" w:rsidRPr="00A8502D"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hu-HU"/>
        </w:rPr>
      </w:pPr>
      <w:r w:rsidRPr="00A8502D">
        <w:rPr>
          <w:rFonts w:ascii="Times New Roman" w:eastAsia="Times New Roman" w:hAnsi="Times New Roman" w:cs="Times New Roman"/>
          <w:sz w:val="28"/>
          <w:szCs w:val="28"/>
          <w:lang w:val="hu-HU"/>
        </w:rPr>
        <w:t xml:space="preserve">Khách hàng là những người nghèo thường vay vốn nhỏ và đầu tư làm ăn với quy mô nhỏ. Để giảm thiểu rủi ro tài chính và giúp người nghèo tính toán hoạt động kinh doanh thì </w:t>
      </w:r>
      <w:r w:rsidR="00EA15F2">
        <w:rPr>
          <w:rFonts w:ascii="Times New Roman" w:eastAsia="Times New Roman" w:hAnsi="Times New Roman" w:cs="Times New Roman"/>
          <w:sz w:val="28"/>
          <w:szCs w:val="28"/>
          <w:lang w:val="hu-HU"/>
        </w:rPr>
        <w:t>TCTCVM</w:t>
      </w:r>
      <w:r w:rsidRPr="00A8502D">
        <w:rPr>
          <w:rFonts w:ascii="Times New Roman" w:eastAsia="Times New Roman" w:hAnsi="Times New Roman" w:cs="Times New Roman"/>
          <w:sz w:val="28"/>
          <w:szCs w:val="28"/>
          <w:lang w:val="hu-HU"/>
        </w:rPr>
        <w:t xml:space="preserve"> thường sủ dụng phương pháp hoàn trả dần phù hợp với vòng quay vốn của khách hàng và vòng quay vốn ở đây thường rất </w:t>
      </w:r>
      <w:r w:rsidRPr="00A8502D">
        <w:rPr>
          <w:rFonts w:ascii="Times New Roman" w:eastAsia="Times New Roman" w:hAnsi="Times New Roman" w:cs="Times New Roman"/>
          <w:sz w:val="28"/>
          <w:szCs w:val="28"/>
          <w:lang w:val="hu-HU"/>
        </w:rPr>
        <w:lastRenderedPageBreak/>
        <w:t>ngắn có khi là ngày hoặc tuần.</w:t>
      </w:r>
    </w:p>
    <w:p w14:paraId="6E863F97" w14:textId="77777777"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Các sản phẩm tiết kiệm tin cậy: </w:t>
      </w:r>
    </w:p>
    <w:p w14:paraId="2F427B5E" w14:textId="77777777" w:rsidR="00A8502D" w:rsidRPr="00A8502D"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sz w:val="28"/>
          <w:szCs w:val="28"/>
          <w:lang w:val="hu-HU"/>
        </w:rPr>
      </w:pPr>
      <w:r w:rsidRPr="00A8502D">
        <w:rPr>
          <w:rFonts w:ascii="Times New Roman" w:eastAsia="Times New Roman" w:hAnsi="Times New Roman" w:cs="Times New Roman"/>
          <w:sz w:val="28"/>
          <w:szCs w:val="28"/>
          <w:lang w:val="hu-HU"/>
        </w:rPr>
        <w:t>Cung cấp các sản phẩm tiết kiệm tin cậy để người nghèo có thể hiểu về dịch vụ tiết kiệm, từ đó có ý thức tiết kiệm và tích lũy (dù cho số tiền họ tích lũy được là rất nhỏ, có thể chỉ là vài nghìn đồng).</w:t>
      </w:r>
    </w:p>
    <w:p w14:paraId="24839433" w14:textId="77777777" w:rsidR="00A8502D" w:rsidRPr="00955121" w:rsidRDefault="00A8502D" w:rsidP="00955121">
      <w:pPr>
        <w:widowControl w:val="0"/>
        <w:shd w:val="clear" w:color="auto" w:fill="FFFFFF"/>
        <w:spacing w:before="120" w:after="120" w:line="240" w:lineRule="auto"/>
        <w:ind w:firstLine="720"/>
        <w:jc w:val="both"/>
        <w:rPr>
          <w:rFonts w:ascii="Times New Roman" w:eastAsia="Times New Roman" w:hAnsi="Times New Roman" w:cs="Times New Roman"/>
          <w:iCs/>
          <w:sz w:val="28"/>
          <w:szCs w:val="28"/>
          <w:lang w:val="hu-HU"/>
        </w:rPr>
      </w:pPr>
      <w:r w:rsidRPr="00955121">
        <w:rPr>
          <w:rFonts w:ascii="Times New Roman" w:eastAsia="Times New Roman" w:hAnsi="Times New Roman" w:cs="Times New Roman"/>
          <w:iCs/>
          <w:sz w:val="28"/>
          <w:szCs w:val="28"/>
          <w:lang w:val="hu-HU"/>
        </w:rPr>
        <w:t xml:space="preserve">Nâng cao gắn kết cộng đồng: </w:t>
      </w:r>
    </w:p>
    <w:p w14:paraId="66D93434" w14:textId="686F7A38" w:rsidR="00A8502D" w:rsidRPr="00A8502D" w:rsidRDefault="00A8502D" w:rsidP="00955121">
      <w:pPr>
        <w:widowControl w:val="0"/>
        <w:spacing w:before="120" w:after="120" w:line="240" w:lineRule="auto"/>
        <w:ind w:firstLine="720"/>
        <w:jc w:val="both"/>
        <w:rPr>
          <w:rFonts w:ascii="Times New Roman" w:eastAsia="Calibri" w:hAnsi="Times New Roman" w:cs="Times New Roman"/>
          <w:b/>
          <w:sz w:val="28"/>
          <w:szCs w:val="28"/>
          <w:lang w:val="hu-HU"/>
        </w:rPr>
      </w:pPr>
      <w:r w:rsidRPr="00A8502D">
        <w:rPr>
          <w:rFonts w:ascii="Times New Roman" w:eastAsia="Calibri" w:hAnsi="Times New Roman" w:cs="Times New Roman"/>
          <w:sz w:val="28"/>
          <w:szCs w:val="28"/>
          <w:lang w:val="hu-HU"/>
        </w:rPr>
        <w:t xml:space="preserve">Khách hàng </w:t>
      </w:r>
      <w:r w:rsidR="00EA15F2">
        <w:rPr>
          <w:rFonts w:ascii="Times New Roman" w:eastAsia="Calibri" w:hAnsi="Times New Roman" w:cs="Times New Roman"/>
          <w:sz w:val="28"/>
          <w:szCs w:val="28"/>
          <w:lang w:val="hu-HU"/>
        </w:rPr>
        <w:t>TCTCVM</w:t>
      </w:r>
      <w:r w:rsidRPr="00A8502D">
        <w:rPr>
          <w:rFonts w:ascii="Times New Roman" w:eastAsia="Calibri" w:hAnsi="Times New Roman" w:cs="Times New Roman"/>
          <w:sz w:val="28"/>
          <w:szCs w:val="28"/>
          <w:lang w:val="hu-HU"/>
        </w:rPr>
        <w:t xml:space="preserve"> có thể lập thành các tổ, nhóm để giúp đỡ, tương trợ lẫn nhau trong việc sử dụng vốn vay và sinh hoạt cuộc sống tại nơi cư trú, qua đó tạo ra môi trường gắn kết, hiểu biết lẫn nhau giữa các thành viên trong cộng đồng.</w:t>
      </w:r>
      <w:r w:rsidRPr="00A8502D">
        <w:rPr>
          <w:rFonts w:ascii="Times New Roman" w:eastAsia="Calibri" w:hAnsi="Times New Roman" w:cs="Times New Roman"/>
          <w:b/>
          <w:sz w:val="28"/>
          <w:szCs w:val="28"/>
          <w:lang w:val="hu-HU"/>
        </w:rPr>
        <w:tab/>
      </w:r>
      <w:bookmarkStart w:id="2" w:name="_Toc487116545"/>
      <w:bookmarkStart w:id="3" w:name="_Toc501362189"/>
    </w:p>
    <w:p w14:paraId="35B49A44" w14:textId="685D7DA2" w:rsidR="00A8502D" w:rsidRPr="00955121" w:rsidRDefault="00A8502D" w:rsidP="00955121">
      <w:pPr>
        <w:widowControl w:val="0"/>
        <w:spacing w:before="120" w:after="120" w:line="240" w:lineRule="auto"/>
        <w:ind w:firstLine="720"/>
        <w:jc w:val="both"/>
        <w:rPr>
          <w:rFonts w:ascii="Times New Roman" w:eastAsia="Calibri" w:hAnsi="Times New Roman" w:cs="Times New Roman"/>
          <w:bCs/>
          <w:iCs/>
          <w:sz w:val="28"/>
          <w:szCs w:val="28"/>
          <w:lang w:val="hu-HU"/>
        </w:rPr>
      </w:pPr>
      <w:r w:rsidRPr="00955121">
        <w:rPr>
          <w:rFonts w:ascii="Times New Roman" w:eastAsia="Calibri" w:hAnsi="Times New Roman" w:cs="Times New Roman"/>
          <w:bCs/>
          <w:iCs/>
          <w:sz w:val="28"/>
          <w:szCs w:val="28"/>
          <w:lang w:val="hu-HU"/>
        </w:rPr>
        <w:t xml:space="preserve">Các dịch vụ </w:t>
      </w:r>
      <w:bookmarkEnd w:id="2"/>
      <w:r w:rsidRPr="00955121">
        <w:rPr>
          <w:rFonts w:ascii="Times New Roman" w:eastAsia="Calibri" w:hAnsi="Times New Roman" w:cs="Times New Roman"/>
          <w:bCs/>
          <w:iCs/>
          <w:sz w:val="28"/>
          <w:szCs w:val="28"/>
          <w:lang w:val="hu-HU"/>
        </w:rPr>
        <w:t xml:space="preserve">tài chính vi mô cơ bản do </w:t>
      </w:r>
      <w:r w:rsidR="00EA15F2" w:rsidRPr="00955121">
        <w:rPr>
          <w:rFonts w:ascii="Times New Roman" w:eastAsia="Calibri" w:hAnsi="Times New Roman" w:cs="Times New Roman"/>
          <w:bCs/>
          <w:iCs/>
          <w:sz w:val="28"/>
          <w:szCs w:val="28"/>
          <w:lang w:val="hu-HU"/>
        </w:rPr>
        <w:t>TCTCVM</w:t>
      </w:r>
      <w:r w:rsidRPr="00955121">
        <w:rPr>
          <w:rFonts w:ascii="Times New Roman" w:eastAsia="Calibri" w:hAnsi="Times New Roman" w:cs="Times New Roman"/>
          <w:bCs/>
          <w:iCs/>
          <w:sz w:val="28"/>
          <w:szCs w:val="28"/>
          <w:lang w:val="hu-HU"/>
        </w:rPr>
        <w:t xml:space="preserve"> </w:t>
      </w:r>
      <w:bookmarkEnd w:id="3"/>
      <w:r w:rsidRPr="00955121">
        <w:rPr>
          <w:rFonts w:ascii="Times New Roman" w:eastAsia="Calibri" w:hAnsi="Times New Roman" w:cs="Times New Roman"/>
          <w:bCs/>
          <w:iCs/>
          <w:sz w:val="28"/>
          <w:szCs w:val="28"/>
          <w:lang w:val="hu-HU"/>
        </w:rPr>
        <w:t>cung cấp</w:t>
      </w:r>
    </w:p>
    <w:p w14:paraId="6C8EE157" w14:textId="51140816"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rPr>
      </w:pPr>
      <w:r w:rsidRPr="00A8502D">
        <w:rPr>
          <w:rFonts w:ascii="Times New Roman" w:eastAsia="PMingLiU" w:hAnsi="Times New Roman" w:cs="Times New Roman"/>
          <w:sz w:val="28"/>
          <w:szCs w:val="28"/>
          <w:lang w:val="hu-HU"/>
        </w:rPr>
        <w:t xml:space="preserve">Trên thị trường tài chính vi mô, các tổ chức cung ứng tài chính vi mô có thể cung cấp các sản phẩm dịch vụ tài chính vi mô cho khách hàng theo một trong hai cách tiếp cận: đơn năng và tổng hợp. </w:t>
      </w:r>
      <w:r w:rsidRPr="00A8502D">
        <w:rPr>
          <w:rFonts w:ascii="Times New Roman" w:eastAsia="PMingLiU" w:hAnsi="Times New Roman" w:cs="Times New Roman"/>
          <w:noProof/>
          <w:sz w:val="28"/>
          <w:szCs w:val="28"/>
          <w:lang w:val="en-US"/>
        </w:rPr>
        <mc:AlternateContent>
          <mc:Choice Requires="wps">
            <w:drawing>
              <wp:anchor distT="0" distB="0" distL="114300" distR="114300" simplePos="0" relativeHeight="251658752" behindDoc="0" locked="0" layoutInCell="1" allowOverlap="1" wp14:anchorId="36F5613C" wp14:editId="7EA00E1D">
                <wp:simplePos x="0" y="0"/>
                <wp:positionH relativeFrom="column">
                  <wp:posOffset>5699760</wp:posOffset>
                </wp:positionH>
                <wp:positionV relativeFrom="paragraph">
                  <wp:posOffset>237490</wp:posOffset>
                </wp:positionV>
                <wp:extent cx="2613660" cy="53975"/>
                <wp:effectExtent l="41592" t="0" r="56833" b="56832"/>
                <wp:wrapNone/>
                <wp:docPr id="54" name="Elb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13660" cy="53975"/>
                        </a:xfrm>
                        <a:prstGeom prst="bentConnector3">
                          <a:avLst>
                            <a:gd name="adj1" fmla="val 50000"/>
                          </a:avLst>
                        </a:prstGeom>
                        <a:noFill/>
                        <a:ln w="9525" algn="ctr">
                          <a:solidFill>
                            <a:srgbClr val="4A7EBB"/>
                          </a:solidFill>
                          <a:miter lim="800000"/>
                          <a:tailEnd type="arrow"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C97BF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4" o:spid="_x0000_s1026" type="#_x0000_t34" style="position:absolute;margin-left:448.8pt;margin-top:18.7pt;width:205.8pt;height:4.25pt;rotation:9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" strokecolor="#4a7ebb">
                <v:stroke endarrow="open"/>
              </v:shape>
            </w:pict>
          </mc:Fallback>
        </mc:AlternateContent>
      </w:r>
      <w:r w:rsidRPr="00A8502D">
        <w:rPr>
          <w:rFonts w:ascii="Times New Roman" w:eastAsia="PMingLiU" w:hAnsi="Times New Roman" w:cs="Times New Roman"/>
          <w:sz w:val="28"/>
          <w:szCs w:val="28"/>
        </w:rPr>
        <w:t xml:space="preserve">Theo cách tiếp cận đơn năng, </w:t>
      </w:r>
      <w:r w:rsidR="00EA15F2">
        <w:rPr>
          <w:rFonts w:ascii="Times New Roman" w:eastAsia="PMingLiU" w:hAnsi="Times New Roman" w:cs="Times New Roman"/>
          <w:sz w:val="28"/>
          <w:szCs w:val="28"/>
        </w:rPr>
        <w:t>TCTCVM</w:t>
      </w:r>
      <w:r w:rsidRPr="00A8502D">
        <w:rPr>
          <w:rFonts w:ascii="Times New Roman" w:eastAsia="PMingLiU" w:hAnsi="Times New Roman" w:cs="Times New Roman"/>
          <w:sz w:val="28"/>
          <w:szCs w:val="28"/>
        </w:rPr>
        <w:t xml:space="preserve"> chỉ tập trung vào các dịch vụ tài chính (tín dụng, tiết kiệm, bảo hiểm vi mô). Theo cách tiếp cận tổng hợp, </w:t>
      </w:r>
      <w:r w:rsidR="00EA15F2">
        <w:rPr>
          <w:rFonts w:ascii="Times New Roman" w:eastAsia="PMingLiU" w:hAnsi="Times New Roman" w:cs="Times New Roman"/>
          <w:sz w:val="28"/>
          <w:szCs w:val="28"/>
        </w:rPr>
        <w:t>TCTCVM</w:t>
      </w:r>
      <w:r w:rsidRPr="00A8502D">
        <w:rPr>
          <w:rFonts w:ascii="Times New Roman" w:eastAsia="PMingLiU" w:hAnsi="Times New Roman" w:cs="Times New Roman"/>
          <w:sz w:val="28"/>
          <w:szCs w:val="28"/>
        </w:rPr>
        <w:t xml:space="preserve"> có thể cung cấp thêm các dịch vụ phi tài chính như phát triển doanh nghiệp và dịch vụ xã hội (Ledgerwood, 2013</w:t>
      </w:r>
      <w:bookmarkStart w:id="4" w:name="_Toc345943821"/>
      <w:bookmarkStart w:id="5" w:name="_Toc487116546"/>
      <w:r w:rsidRPr="00A8502D">
        <w:rPr>
          <w:rFonts w:ascii="Times New Roman" w:eastAsia="PMingLiU" w:hAnsi="Times New Roman" w:cs="Times New Roman"/>
          <w:sz w:val="28"/>
          <w:szCs w:val="28"/>
        </w:rPr>
        <w:t xml:space="preserve">). Cách tiếp cận tổng hợp tạo ra lợi thế cho các tổ chức thông qua việc hiểu rõ nhu cầu khách hàng, cung cấp các dịch vụ họ cho là cần thiết nhất hoặc họ có lợi thế so sánh khi cần thiết. Tuy nhiên, cách tiếp cận tổng hợp đòi hỏi chi phí và nguồn lực lớn hơn cách tiếp cận đơn năng nên các ngân hàng thương mại rất ít khi sử dụng cách tiếp cận “tổng hợp”. Cách này thường chủ yếu do các ngân hàng phát triển, ngân hàng chính sách, </w:t>
      </w:r>
      <w:r w:rsidR="00EA15F2">
        <w:rPr>
          <w:rFonts w:ascii="Times New Roman" w:eastAsia="PMingLiU" w:hAnsi="Times New Roman" w:cs="Times New Roman"/>
          <w:sz w:val="28"/>
          <w:szCs w:val="28"/>
        </w:rPr>
        <w:t>TCTCVM</w:t>
      </w:r>
      <w:r w:rsidRPr="00A8502D">
        <w:rPr>
          <w:rFonts w:ascii="Times New Roman" w:eastAsia="PMingLiU" w:hAnsi="Times New Roman" w:cs="Times New Roman"/>
          <w:sz w:val="28"/>
          <w:szCs w:val="28"/>
        </w:rPr>
        <w:t>, các tổ chức phí chính phủ và các hợp tác xã tín dụng hay quỹ tín dụng nhân dân áp dụng khi có sự hỗ trợ của nhà nước hoặc của các nhà tài trợ.</w:t>
      </w:r>
    </w:p>
    <w:p w14:paraId="4067C11D" w14:textId="79F0128C" w:rsidR="00A8502D" w:rsidRPr="00A8502D" w:rsidRDefault="00A8502D" w:rsidP="00955121">
      <w:pPr>
        <w:widowControl w:val="0"/>
        <w:spacing w:before="120" w:after="120" w:line="240" w:lineRule="auto"/>
        <w:ind w:firstLine="720"/>
        <w:jc w:val="both"/>
        <w:rPr>
          <w:rFonts w:ascii="Times New Roman" w:eastAsia="PMingLiU" w:hAnsi="Times New Roman" w:cs="Times New Roman"/>
          <w:sz w:val="28"/>
          <w:szCs w:val="28"/>
        </w:rPr>
      </w:pPr>
      <w:r w:rsidRPr="00A8502D">
        <w:rPr>
          <w:rFonts w:ascii="Times New Roman" w:eastAsia="PMingLiU" w:hAnsi="Times New Roman" w:cs="Times New Roman"/>
          <w:sz w:val="28"/>
          <w:szCs w:val="28"/>
        </w:rPr>
        <w:t xml:space="preserve">Việc lựa chọn phương pháp tiếp cận đơn năng hay tổng hợp sẽ tùy thuộc mục tiêu của </w:t>
      </w:r>
      <w:r w:rsidR="00EA15F2">
        <w:rPr>
          <w:rFonts w:ascii="Times New Roman" w:eastAsia="PMingLiU" w:hAnsi="Times New Roman" w:cs="Times New Roman"/>
          <w:sz w:val="28"/>
          <w:szCs w:val="28"/>
        </w:rPr>
        <w:t>TCTCVM</w:t>
      </w:r>
      <w:r w:rsidRPr="00A8502D">
        <w:rPr>
          <w:rFonts w:ascii="Times New Roman" w:eastAsia="PMingLiU" w:hAnsi="Times New Roman" w:cs="Times New Roman"/>
          <w:sz w:val="28"/>
          <w:szCs w:val="28"/>
        </w:rPr>
        <w:t xml:space="preserve">, nhu cầu của thị trường và khả năng cung của </w:t>
      </w:r>
      <w:r w:rsidR="00EA15F2">
        <w:rPr>
          <w:rFonts w:ascii="Times New Roman" w:eastAsia="PMingLiU" w:hAnsi="Times New Roman" w:cs="Times New Roman"/>
          <w:sz w:val="28"/>
          <w:szCs w:val="28"/>
        </w:rPr>
        <w:t>TCTCVM</w:t>
      </w:r>
      <w:r w:rsidRPr="00A8502D">
        <w:rPr>
          <w:rFonts w:ascii="Times New Roman" w:eastAsia="PMingLiU" w:hAnsi="Times New Roman" w:cs="Times New Roman"/>
          <w:sz w:val="28"/>
          <w:szCs w:val="28"/>
        </w:rPr>
        <w:t xml:space="preserve">. Điều quan trọng khác là </w:t>
      </w:r>
      <w:r w:rsidR="00EA15F2">
        <w:rPr>
          <w:rFonts w:ascii="Times New Roman" w:eastAsia="PMingLiU" w:hAnsi="Times New Roman" w:cs="Times New Roman"/>
          <w:sz w:val="28"/>
          <w:szCs w:val="28"/>
        </w:rPr>
        <w:t>TCTCVM</w:t>
      </w:r>
      <w:r w:rsidRPr="00A8502D">
        <w:rPr>
          <w:rFonts w:ascii="Times New Roman" w:eastAsia="PMingLiU" w:hAnsi="Times New Roman" w:cs="Times New Roman"/>
          <w:sz w:val="28"/>
          <w:szCs w:val="28"/>
        </w:rPr>
        <w:t xml:space="preserve"> cần tách biệt và kiểm soát chi phí của mỗi loại dịch vụ để đạt được sự bền vững trong việc cung cấp các dịch vụ tài chính, vấn đề này cũng cần làm rõ cho nhóm khách hàng tài chính vi mô của mình.</w:t>
      </w:r>
    </w:p>
    <w:p w14:paraId="67684EC6" w14:textId="77777777" w:rsidR="00A8502D" w:rsidRPr="00CF5B4F" w:rsidRDefault="00A8502D" w:rsidP="00955121">
      <w:pPr>
        <w:widowControl w:val="0"/>
        <w:tabs>
          <w:tab w:val="left" w:pos="567"/>
        </w:tabs>
        <w:spacing w:before="120" w:after="120" w:line="240" w:lineRule="auto"/>
        <w:jc w:val="both"/>
        <w:rPr>
          <w:rFonts w:ascii="Times New Roman" w:eastAsia="PMingLiU" w:hAnsi="Times New Roman" w:cs="Times New Roman"/>
          <w:iCs/>
          <w:sz w:val="28"/>
          <w:szCs w:val="28"/>
          <w:lang w:val="en-US"/>
        </w:rPr>
      </w:pPr>
      <w:r w:rsidRPr="00955121">
        <w:rPr>
          <w:rFonts w:ascii="Times New Roman" w:eastAsia="PMingLiU" w:hAnsi="Times New Roman" w:cs="Times New Roman"/>
          <w:iCs/>
          <w:sz w:val="28"/>
          <w:szCs w:val="28"/>
        </w:rPr>
        <w:tab/>
      </w:r>
      <w:r w:rsidRPr="00955121">
        <w:rPr>
          <w:rFonts w:ascii="Times New Roman" w:eastAsia="PMingLiU" w:hAnsi="Times New Roman" w:cs="Times New Roman"/>
          <w:iCs/>
          <w:sz w:val="28"/>
          <w:szCs w:val="28"/>
        </w:rPr>
        <w:tab/>
      </w:r>
      <w:r w:rsidRPr="00955121">
        <w:rPr>
          <w:rFonts w:ascii="Times New Roman" w:eastAsia="PMingLiU" w:hAnsi="Times New Roman" w:cs="Times New Roman"/>
          <w:iCs/>
          <w:sz w:val="28"/>
          <w:szCs w:val="28"/>
          <w:lang w:val="en-US"/>
        </w:rPr>
        <w:t>a) Trung gian về tài chính</w:t>
      </w:r>
      <w:bookmarkEnd w:id="4"/>
      <w:bookmarkEnd w:id="5"/>
    </w:p>
    <w:p w14:paraId="27A2E895" w14:textId="77777777"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b/>
          <w:sz w:val="28"/>
          <w:szCs w:val="28"/>
          <w:lang w:val="en-US"/>
        </w:rPr>
      </w:pPr>
      <w:r w:rsidRPr="00A8502D">
        <w:rPr>
          <w:rFonts w:ascii="Times New Roman" w:eastAsia="PMingLiU" w:hAnsi="Times New Roman" w:cs="Times New Roman"/>
          <w:sz w:val="28"/>
          <w:szCs w:val="28"/>
          <w:lang w:val="en-US"/>
        </w:rPr>
        <w:t>Trung gian tài chính bao gồm việc cung cấp các dịch vụ tài chính như tín dụng, tiết kiệm, bảo hiểm, thanh toán hay cho thuê tài chính vi mô.</w:t>
      </w:r>
    </w:p>
    <w:p w14:paraId="2FC17020" w14:textId="77777777" w:rsidR="00A8502D" w:rsidRPr="00CF5B4F" w:rsidRDefault="00A8502D" w:rsidP="00955121">
      <w:pPr>
        <w:widowControl w:val="0"/>
        <w:tabs>
          <w:tab w:val="left" w:pos="567"/>
        </w:tabs>
        <w:spacing w:before="120" w:after="120" w:line="240" w:lineRule="auto"/>
        <w:ind w:firstLine="720"/>
        <w:jc w:val="both"/>
        <w:rPr>
          <w:rFonts w:ascii="Times New Roman" w:eastAsia="PMingLiU" w:hAnsi="Times New Roman" w:cs="Times New Roman"/>
          <w:iCs/>
          <w:sz w:val="28"/>
          <w:szCs w:val="28"/>
          <w:lang w:val="sv-SE"/>
        </w:rPr>
      </w:pPr>
      <w:r w:rsidRPr="00955121">
        <w:rPr>
          <w:rFonts w:ascii="Times New Roman" w:eastAsia="PMingLiU" w:hAnsi="Times New Roman" w:cs="Times New Roman"/>
          <w:iCs/>
          <w:sz w:val="28"/>
          <w:szCs w:val="28"/>
          <w:lang w:val="sv-SE"/>
        </w:rPr>
        <w:t>Dịch vụ tín dụng vi mô:</w:t>
      </w:r>
    </w:p>
    <w:p w14:paraId="2AF746DB" w14:textId="700C4488"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b/>
          <w:sz w:val="28"/>
          <w:szCs w:val="28"/>
          <w:lang w:val="sv-SE"/>
        </w:rPr>
      </w:pPr>
      <w:r w:rsidRPr="00A8502D">
        <w:rPr>
          <w:rFonts w:ascii="Times New Roman" w:eastAsia="PMingLiU" w:hAnsi="Times New Roman" w:cs="Times New Roman"/>
          <w:sz w:val="28"/>
          <w:szCs w:val="28"/>
          <w:lang w:val="sv-SE"/>
        </w:rPr>
        <w:t xml:space="preserve">Có thể nói đây là dịch vụ cơ bản của hầu hết các </w:t>
      </w:r>
      <w:r w:rsidR="00EA15F2">
        <w:rPr>
          <w:rFonts w:ascii="Times New Roman" w:eastAsia="PMingLiU" w:hAnsi="Times New Roman" w:cs="Times New Roman"/>
          <w:sz w:val="28"/>
          <w:szCs w:val="28"/>
          <w:lang w:val="sv-SE"/>
        </w:rPr>
        <w:t>TCTCVM</w:t>
      </w:r>
      <w:r w:rsidRPr="00A8502D">
        <w:rPr>
          <w:rFonts w:ascii="Times New Roman" w:eastAsia="PMingLiU" w:hAnsi="Times New Roman" w:cs="Times New Roman"/>
          <w:sz w:val="28"/>
          <w:szCs w:val="28"/>
          <w:lang w:val="sv-SE"/>
        </w:rPr>
        <w:t xml:space="preserve">, với việc cung cấp các khoản vay nhỏ đáp ứng nhu cầu của các hộ thu nhập thấp, đặc biệt là các hộ nghèo hoặc cũng có thể là các doanh nghiệp vi mô/doanh nghiệp siêu nhỏ. Hai phương pháp cung cấp tín dụng được áp dụng là cho vay cá nhân và </w:t>
      </w:r>
      <w:r w:rsidRPr="00A8502D">
        <w:rPr>
          <w:rFonts w:ascii="Times New Roman" w:eastAsia="PMingLiU" w:hAnsi="Times New Roman" w:cs="Times New Roman"/>
          <w:sz w:val="28"/>
          <w:szCs w:val="28"/>
          <w:lang w:val="sv-SE"/>
        </w:rPr>
        <w:lastRenderedPageBreak/>
        <w:t xml:space="preserve">cho vay theo nhóm. Bền vững tài chính là mục tiêu quan trọng mà các </w:t>
      </w:r>
      <w:r w:rsidR="00EA15F2">
        <w:rPr>
          <w:rFonts w:ascii="Times New Roman" w:eastAsia="PMingLiU" w:hAnsi="Times New Roman" w:cs="Times New Roman"/>
          <w:sz w:val="28"/>
          <w:szCs w:val="28"/>
          <w:lang w:val="sv-SE"/>
        </w:rPr>
        <w:t>TCTCVM</w:t>
      </w:r>
      <w:r w:rsidRPr="00A8502D">
        <w:rPr>
          <w:rFonts w:ascii="Times New Roman" w:eastAsia="PMingLiU" w:hAnsi="Times New Roman" w:cs="Times New Roman"/>
          <w:sz w:val="28"/>
          <w:szCs w:val="28"/>
          <w:lang w:val="sv-SE"/>
        </w:rPr>
        <w:t xml:space="preserve"> luôn hướng tới với không ít khó khăn và thách thức trong việc cung cấp dịch vụ này.</w:t>
      </w:r>
    </w:p>
    <w:p w14:paraId="6B66011E" w14:textId="77777777" w:rsidR="00A8502D" w:rsidRPr="00955121" w:rsidRDefault="00A8502D" w:rsidP="00955121">
      <w:pPr>
        <w:widowControl w:val="0"/>
        <w:tabs>
          <w:tab w:val="left" w:pos="567"/>
        </w:tabs>
        <w:spacing w:before="120" w:after="120" w:line="240" w:lineRule="auto"/>
        <w:ind w:firstLine="720"/>
        <w:jc w:val="both"/>
        <w:rPr>
          <w:rFonts w:ascii="Times New Roman" w:eastAsia="PMingLiU" w:hAnsi="Times New Roman" w:cs="Times New Roman"/>
          <w:b/>
          <w:iCs/>
          <w:sz w:val="28"/>
          <w:szCs w:val="28"/>
          <w:lang w:val="sv-SE"/>
        </w:rPr>
      </w:pPr>
      <w:r w:rsidRPr="00955121">
        <w:rPr>
          <w:rFonts w:ascii="Times New Roman" w:eastAsia="PMingLiU" w:hAnsi="Times New Roman" w:cs="Times New Roman"/>
          <w:iCs/>
          <w:sz w:val="28"/>
          <w:szCs w:val="28"/>
          <w:lang w:val="sv-SE"/>
        </w:rPr>
        <w:t>Dịch vụ tiết kiệm:</w:t>
      </w:r>
      <w:r w:rsidRPr="00955121">
        <w:rPr>
          <w:rFonts w:ascii="Times New Roman" w:eastAsia="PMingLiU" w:hAnsi="Times New Roman" w:cs="Times New Roman"/>
          <w:b/>
          <w:iCs/>
          <w:sz w:val="28"/>
          <w:szCs w:val="28"/>
          <w:lang w:val="sv-SE"/>
        </w:rPr>
        <w:t xml:space="preserve"> </w:t>
      </w:r>
    </w:p>
    <w:p w14:paraId="4345D9A1" w14:textId="6F10B047"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lang w:val="sv-SE"/>
        </w:rPr>
      </w:pPr>
      <w:r w:rsidRPr="00A8502D">
        <w:rPr>
          <w:rFonts w:ascii="Times New Roman" w:eastAsia="PMingLiU" w:hAnsi="Times New Roman" w:cs="Times New Roman"/>
          <w:sz w:val="28"/>
          <w:szCs w:val="28"/>
          <w:lang w:val="sv-SE"/>
        </w:rPr>
        <w:t xml:space="preserve">Tiền gửi tiết kiệm được các </w:t>
      </w:r>
      <w:r w:rsidR="00EA15F2">
        <w:rPr>
          <w:rFonts w:ascii="Times New Roman" w:eastAsia="PMingLiU" w:hAnsi="Times New Roman" w:cs="Times New Roman"/>
          <w:sz w:val="28"/>
          <w:szCs w:val="28"/>
          <w:lang w:val="sv-SE"/>
        </w:rPr>
        <w:t>TCTCVM</w:t>
      </w:r>
      <w:r w:rsidRPr="00A8502D">
        <w:rPr>
          <w:rFonts w:ascii="Times New Roman" w:eastAsia="PMingLiU" w:hAnsi="Times New Roman" w:cs="Times New Roman"/>
          <w:sz w:val="28"/>
          <w:szCs w:val="28"/>
          <w:lang w:val="sv-SE"/>
        </w:rPr>
        <w:t xml:space="preserve"> thường áp dụng hai hình thức có tính đặc thù, gồm: tiết kiệm bắt buộc và tiết kiệm tự nguyện. Dịch vụ tiết kiệm mang lại một số lợi ích cho khách hàng như xây dựng ý thức thói quen tiết kiệm, tích lũy tài sản, tập dượt kỹ năng tài chính. Tuy nhiên, tại một số quốc gia, tiết kiệm tự nguyện có thể gặp rào cản về mặt pháp lý trong việc cho phép thực hiện hoạt động này cho mục tiêu an toàn tài chính.</w:t>
      </w:r>
    </w:p>
    <w:p w14:paraId="69BAC788" w14:textId="77777777" w:rsidR="00A8502D" w:rsidRPr="00955121" w:rsidRDefault="00A8502D" w:rsidP="00955121">
      <w:pPr>
        <w:widowControl w:val="0"/>
        <w:tabs>
          <w:tab w:val="left" w:pos="567"/>
        </w:tabs>
        <w:spacing w:before="120" w:after="120" w:line="240" w:lineRule="auto"/>
        <w:ind w:firstLine="720"/>
        <w:jc w:val="both"/>
        <w:rPr>
          <w:rFonts w:ascii="Times New Roman" w:eastAsia="PMingLiU" w:hAnsi="Times New Roman" w:cs="Times New Roman"/>
          <w:iCs/>
          <w:sz w:val="28"/>
          <w:szCs w:val="28"/>
          <w:lang w:val="sv-SE"/>
        </w:rPr>
      </w:pPr>
      <w:r w:rsidRPr="00955121">
        <w:rPr>
          <w:rFonts w:ascii="Times New Roman" w:eastAsia="PMingLiU" w:hAnsi="Times New Roman" w:cs="Times New Roman"/>
          <w:iCs/>
          <w:sz w:val="28"/>
          <w:szCs w:val="28"/>
          <w:lang w:val="sv-SE"/>
        </w:rPr>
        <w:t xml:space="preserve">Dịch vụ bảo hiểm vi mô: </w:t>
      </w:r>
    </w:p>
    <w:p w14:paraId="3D85A8A3" w14:textId="10FBAA38"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lang w:val="it-IT"/>
        </w:rPr>
      </w:pPr>
      <w:r w:rsidRPr="00A8502D">
        <w:rPr>
          <w:rFonts w:ascii="Times New Roman" w:eastAsia="PMingLiU" w:hAnsi="Times New Roman" w:cs="Times New Roman"/>
          <w:sz w:val="28"/>
          <w:szCs w:val="28"/>
          <w:lang w:val="sv-SE"/>
        </w:rPr>
        <w:t xml:space="preserve">Bảo hiểm là một hợp đồng theo đó một bên, (gọi là công ty bảo hiểm), bằng việc thu một khoản tiền (gọi là phí bảo hiểm) cam kết thanh toán cho bên kia (gọi là người được bảo hiểm) một khoản tiền hoặc hiện vật tương đương với khoản tiền đó khi xảy ra rủi ro (Bland, 1993). </w:t>
      </w:r>
      <w:r w:rsidRPr="00A8502D">
        <w:rPr>
          <w:rFonts w:ascii="Times New Roman" w:eastAsia="PMingLiU" w:hAnsi="Times New Roman" w:cs="Times New Roman"/>
          <w:sz w:val="28"/>
          <w:szCs w:val="28"/>
          <w:lang w:val="it-IT"/>
        </w:rPr>
        <w:t xml:space="preserve">Bảo hiểm vi mô là sản phẩm được thiết kế riêng để phù hợp với đối tượng khách hàng của </w:t>
      </w:r>
      <w:r w:rsidRPr="00A8502D">
        <w:rPr>
          <w:rFonts w:ascii="Times New Roman" w:eastAsia="PMingLiU" w:hAnsi="Times New Roman" w:cs="Times New Roman"/>
          <w:sz w:val="28"/>
          <w:szCs w:val="28"/>
          <w:lang w:val="sv-SE"/>
        </w:rPr>
        <w:t>tài chính vi mô</w:t>
      </w:r>
      <w:r w:rsidRPr="00A8502D">
        <w:rPr>
          <w:rFonts w:ascii="Times New Roman" w:eastAsia="PMingLiU" w:hAnsi="Times New Roman" w:cs="Times New Roman"/>
          <w:sz w:val="28"/>
          <w:szCs w:val="28"/>
          <w:lang w:val="it-IT"/>
        </w:rPr>
        <w:t>. Theo Churchill (2006), bảo hiểm vi mô là một hình thức thu xếp tài chính để bảo vệ người dân có thu nhập thấp chống lại các rủi ro và hiểm họa cụ thể với điều kiện khách hàng đóng góp các khoản phí bảo hiểm thường xuyên tương xứng với khả năng và chi phí của các rủi ro liên quan.</w:t>
      </w:r>
      <w:r w:rsidRPr="00A8502D">
        <w:rPr>
          <w:rFonts w:ascii="Times New Roman" w:eastAsia="PMingLiU" w:hAnsi="Times New Roman" w:cs="Times New Roman"/>
          <w:b/>
          <w:sz w:val="28"/>
          <w:szCs w:val="28"/>
          <w:lang w:val="it-IT"/>
        </w:rPr>
        <w:t xml:space="preserve"> </w:t>
      </w:r>
      <w:r w:rsidRPr="00A8502D">
        <w:rPr>
          <w:rFonts w:ascii="Times New Roman" w:eastAsia="PMingLiU" w:hAnsi="Times New Roman" w:cs="Times New Roman"/>
          <w:sz w:val="28"/>
          <w:szCs w:val="28"/>
          <w:lang w:val="it-IT"/>
        </w:rPr>
        <w:t xml:space="preserve">Tại một số quốc gia như Indonesia, Bangladesh, Phillipines, dịch vụ này rất phát triển. Tại Việt Nam, theo Luật Các tổ chức tính dụng, các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sz w:val="28"/>
          <w:szCs w:val="28"/>
          <w:lang w:val="it-IT"/>
        </w:rPr>
        <w:t xml:space="preserve"> chính thức chỉ được cung cấp bảo hiểm vi mô dưới hình thức là đại lý của các công ty bảo hiểm. </w:t>
      </w:r>
    </w:p>
    <w:p w14:paraId="4BA35533" w14:textId="77777777" w:rsidR="00A8502D" w:rsidRPr="00955121" w:rsidRDefault="00A8502D" w:rsidP="00955121">
      <w:pPr>
        <w:widowControl w:val="0"/>
        <w:tabs>
          <w:tab w:val="left" w:pos="567"/>
        </w:tabs>
        <w:spacing w:before="120" w:after="120" w:line="240" w:lineRule="auto"/>
        <w:ind w:firstLine="720"/>
        <w:jc w:val="both"/>
        <w:rPr>
          <w:rFonts w:ascii="Times New Roman" w:eastAsia="PMingLiU" w:hAnsi="Times New Roman" w:cs="Times New Roman"/>
          <w:b/>
          <w:iCs/>
          <w:sz w:val="28"/>
          <w:szCs w:val="28"/>
          <w:lang w:val="it-IT"/>
        </w:rPr>
      </w:pPr>
      <w:r w:rsidRPr="00955121">
        <w:rPr>
          <w:rFonts w:ascii="Times New Roman" w:eastAsia="PMingLiU" w:hAnsi="Times New Roman" w:cs="Times New Roman"/>
          <w:iCs/>
          <w:sz w:val="28"/>
          <w:szCs w:val="28"/>
          <w:lang w:val="it-IT"/>
        </w:rPr>
        <w:t>Dịch vụ thanh toán:</w:t>
      </w:r>
      <w:r w:rsidRPr="00955121">
        <w:rPr>
          <w:rFonts w:ascii="Times New Roman" w:eastAsia="PMingLiU" w:hAnsi="Times New Roman" w:cs="Times New Roman"/>
          <w:b/>
          <w:iCs/>
          <w:sz w:val="28"/>
          <w:szCs w:val="28"/>
          <w:lang w:val="it-IT"/>
        </w:rPr>
        <w:t xml:space="preserve"> </w:t>
      </w:r>
    </w:p>
    <w:p w14:paraId="54085327" w14:textId="523B1971"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lang w:val="it-IT"/>
        </w:rPr>
      </w:pPr>
      <w:r w:rsidRPr="00A8502D">
        <w:rPr>
          <w:rFonts w:ascii="Times New Roman" w:eastAsia="PMingLiU" w:hAnsi="Times New Roman" w:cs="Times New Roman"/>
          <w:sz w:val="28"/>
          <w:szCs w:val="28"/>
          <w:lang w:val="it-IT"/>
        </w:rPr>
        <w:t xml:space="preserve">Các dịch vụ thanh toán gắn liền với dịch vụ huy động tiền gửi của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sz w:val="28"/>
          <w:szCs w:val="28"/>
          <w:lang w:val="it-IT"/>
        </w:rPr>
        <w:t xml:space="preserve">, bao gồm các thể thức như: séc, ủy nhiệm chi, ủy nhiệm thu, thư tín dụng hay thẻ thanh toán,... Để thực hiện thanh toán, khách hàng cần phải dùng tới các khoản tiền gửi không kỳ hạn và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sz w:val="28"/>
          <w:szCs w:val="28"/>
          <w:lang w:val="it-IT"/>
        </w:rPr>
        <w:t xml:space="preserve"> phải nối với hệ thống thanh toán bù trừ quốc gia. </w:t>
      </w:r>
      <w:r w:rsidRPr="00A8502D">
        <w:rPr>
          <w:rFonts w:ascii="Times New Roman" w:eastAsia="PMingLiU" w:hAnsi="Times New Roman" w:cs="Times New Roman"/>
          <w:bCs/>
          <w:sz w:val="28"/>
          <w:szCs w:val="28"/>
          <w:lang w:val="it-IT"/>
        </w:rPr>
        <w:t xml:space="preserve">Phí từ hoạt động thanh toán có thể gắn liền với hoạt động tiền gửi, nhưng cũng có thể tách biệt, với mục tiêu đảm bảo đủ bù đắp các chi phí liên quan tới hoạt động thanh toán như chi phí trang thiết bị và cơ sở hạ tầng khác, chi phí nhân sự, bảo hiểm. Hiện nay, nhiều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bCs/>
          <w:sz w:val="28"/>
          <w:szCs w:val="28"/>
          <w:lang w:val="it-IT"/>
        </w:rPr>
        <w:t xml:space="preserve"> đang phát triển nghiệp vụ này để thực hiện mục tiêu đa dạng hóa hoạt động và thu nhập. Để cung cấp dịch vụ chuyển tiền, các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bCs/>
          <w:sz w:val="28"/>
          <w:szCs w:val="28"/>
          <w:lang w:val="it-IT"/>
        </w:rPr>
        <w:t xml:space="preserve"> phải có một hệ thống chi nhánh hoặc các mối quan hệ đại lý rộng rãi với một hoặc nhiều ngân hàng.</w:t>
      </w:r>
      <w:r w:rsidRPr="00A8502D">
        <w:rPr>
          <w:rFonts w:ascii="Times New Roman" w:eastAsia="PMingLiU" w:hAnsi="Times New Roman" w:cs="Times New Roman"/>
          <w:sz w:val="28"/>
          <w:szCs w:val="28"/>
          <w:lang w:val="it-IT"/>
        </w:rPr>
        <w:t xml:space="preserve"> Tuy nhiên, không phải tất cả các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sz w:val="28"/>
          <w:szCs w:val="28"/>
          <w:lang w:val="it-IT"/>
        </w:rPr>
        <w:t xml:space="preserve"> được cung cấp dịch vụ này mà tùy theo quy định của mỗi nước. </w:t>
      </w:r>
    </w:p>
    <w:p w14:paraId="5E6ADFE6" w14:textId="77777777" w:rsidR="00A8502D" w:rsidRPr="00955121" w:rsidRDefault="00A8502D" w:rsidP="00955121">
      <w:pPr>
        <w:widowControl w:val="0"/>
        <w:tabs>
          <w:tab w:val="left" w:pos="567"/>
        </w:tabs>
        <w:spacing w:before="120" w:after="120" w:line="240" w:lineRule="auto"/>
        <w:ind w:firstLine="720"/>
        <w:jc w:val="both"/>
        <w:rPr>
          <w:rFonts w:ascii="Times New Roman" w:eastAsia="PMingLiU" w:hAnsi="Times New Roman" w:cs="Times New Roman"/>
          <w:b/>
          <w:iCs/>
          <w:sz w:val="28"/>
          <w:szCs w:val="28"/>
          <w:lang w:val="it-IT"/>
        </w:rPr>
      </w:pPr>
      <w:r w:rsidRPr="00955121">
        <w:rPr>
          <w:rFonts w:ascii="Times New Roman" w:eastAsia="PMingLiU" w:hAnsi="Times New Roman" w:cs="Times New Roman"/>
          <w:iCs/>
          <w:sz w:val="28"/>
          <w:szCs w:val="28"/>
          <w:lang w:val="it-IT"/>
        </w:rPr>
        <w:t>Cho thuê vi mô:</w:t>
      </w:r>
      <w:r w:rsidRPr="00955121">
        <w:rPr>
          <w:rFonts w:ascii="Times New Roman" w:eastAsia="PMingLiU" w:hAnsi="Times New Roman" w:cs="Times New Roman"/>
          <w:b/>
          <w:iCs/>
          <w:sz w:val="28"/>
          <w:szCs w:val="28"/>
          <w:lang w:val="it-IT"/>
        </w:rPr>
        <w:t xml:space="preserve"> </w:t>
      </w:r>
    </w:p>
    <w:p w14:paraId="451C6780" w14:textId="08787FDB"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lang w:val="it-IT"/>
        </w:rPr>
      </w:pPr>
      <w:r w:rsidRPr="00A8502D">
        <w:rPr>
          <w:rFonts w:ascii="Times New Roman" w:eastAsia="PMingLiU" w:hAnsi="Times New Roman" w:cs="Times New Roman"/>
          <w:sz w:val="28"/>
          <w:szCs w:val="28"/>
          <w:lang w:val="it-IT"/>
        </w:rPr>
        <w:t xml:space="preserve">Là loại sản phẩm có thể cho phép khách hàng thuê và sử dụng các máy móc, thiết bị và họ chỉ phải thanh toán cho phần chi phí dịch vụ sử dụng. Ở </w:t>
      </w:r>
      <w:r w:rsidRPr="00A8502D">
        <w:rPr>
          <w:rFonts w:ascii="Times New Roman" w:eastAsia="PMingLiU" w:hAnsi="Times New Roman" w:cs="Times New Roman"/>
          <w:sz w:val="28"/>
          <w:szCs w:val="28"/>
          <w:lang w:val="it-IT"/>
        </w:rPr>
        <w:lastRenderedPageBreak/>
        <w:t xml:space="preserve">nông thôn, cho thuê vi mô thường được yêu cầu cho hoạt động nông nghiệp theo nhóm khi mà các thành viên của nhóm nông dân cùng nhau thuê máy móc thiết bị (ví dụ, máy cày) và thay nhau sử dụng chúng, đóng góp từng phần chi phí theo tỷ lệ. </w:t>
      </w:r>
      <w:r w:rsidR="007F47E0">
        <w:rPr>
          <w:rFonts w:ascii="Times New Roman" w:eastAsia="PMingLiU" w:hAnsi="Times New Roman" w:cs="Times New Roman"/>
          <w:sz w:val="28"/>
          <w:szCs w:val="28"/>
          <w:lang w:val="it-IT"/>
        </w:rPr>
        <w:t>Ở nhiều quốc gia</w:t>
      </w:r>
      <w:r w:rsidRPr="00A8502D">
        <w:rPr>
          <w:rFonts w:ascii="Times New Roman" w:eastAsia="PMingLiU" w:hAnsi="Times New Roman" w:cs="Times New Roman"/>
          <w:sz w:val="28"/>
          <w:szCs w:val="28"/>
          <w:lang w:val="it-IT"/>
        </w:rPr>
        <w:t xml:space="preserve">, cho thuê vi mô là sản phẩm phổ biến cho các nông dân nghèo và các doanh nghiệp nhỏ. </w:t>
      </w:r>
      <w:bookmarkStart w:id="6" w:name="_Toc345943822"/>
      <w:bookmarkStart w:id="7" w:name="_Toc487116547"/>
    </w:p>
    <w:p w14:paraId="6DBB7762" w14:textId="77777777" w:rsidR="00A8502D" w:rsidRPr="00A46CAF" w:rsidRDefault="00A8502D" w:rsidP="00955121">
      <w:pPr>
        <w:widowControl w:val="0"/>
        <w:tabs>
          <w:tab w:val="left" w:pos="567"/>
        </w:tabs>
        <w:spacing w:before="120" w:after="120" w:line="240" w:lineRule="auto"/>
        <w:ind w:firstLine="720"/>
        <w:jc w:val="both"/>
        <w:rPr>
          <w:rFonts w:ascii="Times New Roman" w:eastAsia="Calibri" w:hAnsi="Times New Roman" w:cs="Times New Roman"/>
          <w:iCs/>
          <w:sz w:val="28"/>
          <w:szCs w:val="28"/>
          <w:lang w:val="it-IT"/>
        </w:rPr>
      </w:pPr>
      <w:r w:rsidRPr="00955121">
        <w:rPr>
          <w:rFonts w:ascii="Times New Roman" w:eastAsia="Calibri" w:hAnsi="Times New Roman" w:cs="Times New Roman"/>
          <w:iCs/>
          <w:sz w:val="28"/>
          <w:szCs w:val="28"/>
          <w:lang w:val="it-IT"/>
        </w:rPr>
        <w:t>b) Trung gian xã hội</w:t>
      </w:r>
      <w:bookmarkEnd w:id="6"/>
      <w:bookmarkEnd w:id="7"/>
    </w:p>
    <w:p w14:paraId="4BDFDB4B" w14:textId="319396F1"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lang w:val="it-IT"/>
        </w:rPr>
      </w:pPr>
      <w:r w:rsidRPr="00A8502D">
        <w:rPr>
          <w:rFonts w:ascii="Times New Roman" w:eastAsia="PMingLiU" w:hAnsi="Times New Roman" w:cs="Times New Roman"/>
          <w:sz w:val="28"/>
          <w:szCs w:val="28"/>
          <w:lang w:val="it-IT"/>
        </w:rPr>
        <w:t xml:space="preserve">Việc cung cấp các dịch vụ trung gian xã hội thường được các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sz w:val="28"/>
          <w:szCs w:val="28"/>
          <w:lang w:val="it-IT"/>
        </w:rPr>
        <w:t xml:space="preserve"> thực hiện thông qua tổ chức tổ, nhóm nhưng một số tổ chức cũng thực hiện các dịch vụ này trực tiếp với cá nhân khách hàng. Trung gian xã hội thường được xây dựng theo hướng tập trung vào năng lực liên kết nhóm, năng lực tự quản lý của nhóm, sự tự tin của các thành viên trong tổ, nhóm.</w:t>
      </w:r>
    </w:p>
    <w:p w14:paraId="65ECAD47" w14:textId="77777777" w:rsidR="00A8502D" w:rsidRPr="00955121" w:rsidRDefault="00A8502D" w:rsidP="00955121">
      <w:pPr>
        <w:widowControl w:val="0"/>
        <w:tabs>
          <w:tab w:val="left" w:pos="567"/>
        </w:tabs>
        <w:spacing w:before="120" w:after="120" w:line="240" w:lineRule="auto"/>
        <w:ind w:firstLine="720"/>
        <w:jc w:val="both"/>
        <w:rPr>
          <w:rFonts w:ascii="Times New Roman" w:eastAsia="PMingLiU" w:hAnsi="Times New Roman" w:cs="Times New Roman"/>
          <w:iCs/>
          <w:sz w:val="28"/>
          <w:szCs w:val="28"/>
          <w:lang w:val="it-IT"/>
        </w:rPr>
      </w:pPr>
      <w:bookmarkStart w:id="8" w:name="_Toc345943823"/>
      <w:r w:rsidRPr="00955121">
        <w:rPr>
          <w:rFonts w:ascii="Times New Roman" w:eastAsia="PMingLiU" w:hAnsi="Times New Roman" w:cs="Times New Roman"/>
          <w:iCs/>
          <w:sz w:val="28"/>
          <w:szCs w:val="28"/>
          <w:lang w:val="it-IT"/>
        </w:rPr>
        <w:t>Dịch vụ phát triển doanh nghiệp</w:t>
      </w:r>
      <w:bookmarkEnd w:id="8"/>
      <w:r w:rsidRPr="00955121">
        <w:rPr>
          <w:rFonts w:ascii="Times New Roman" w:eastAsia="PMingLiU" w:hAnsi="Times New Roman" w:cs="Times New Roman"/>
          <w:iCs/>
          <w:sz w:val="28"/>
          <w:szCs w:val="28"/>
          <w:lang w:val="it-IT"/>
        </w:rPr>
        <w:t xml:space="preserve">: </w:t>
      </w:r>
    </w:p>
    <w:p w14:paraId="43C05F40" w14:textId="0612589F" w:rsidR="00A8502D" w:rsidRPr="00A8502D" w:rsidRDefault="00A8502D" w:rsidP="00955121">
      <w:pPr>
        <w:widowControl w:val="0"/>
        <w:tabs>
          <w:tab w:val="left" w:pos="567"/>
        </w:tabs>
        <w:spacing w:before="120" w:after="120" w:line="240" w:lineRule="auto"/>
        <w:ind w:firstLine="720"/>
        <w:jc w:val="both"/>
        <w:rPr>
          <w:rFonts w:ascii="Times New Roman" w:eastAsia="PMingLiU" w:hAnsi="Times New Roman" w:cs="Times New Roman"/>
          <w:sz w:val="28"/>
          <w:szCs w:val="28"/>
          <w:lang w:val="it-IT"/>
        </w:rPr>
      </w:pPr>
      <w:r w:rsidRPr="00A8502D">
        <w:rPr>
          <w:rFonts w:ascii="Times New Roman" w:eastAsia="PMingLiU" w:hAnsi="Times New Roman" w:cs="Times New Roman"/>
          <w:sz w:val="28"/>
          <w:szCs w:val="28"/>
          <w:lang w:val="it-IT"/>
        </w:rPr>
        <w:t xml:space="preserve">Dịch vụ phát triển doanh nghiệp bao gồm các hoạt động can thiệp phi tài chính nhằm hỗ trợ doanh nghiệp phát triển, như dịch vụ marketing, công nghệ, đào tạo kỹ năng kinh doanh, quản lý doanh nghiệp, đào tạo sản xuất, v.v. Nhìn chung dịch vụ phát triển doanh nghiệp có phạm trù rộng, có thể là bất kỳ một dịch vụ nào trừ dịch vụ tài chính. </w:t>
      </w:r>
      <w:bookmarkStart w:id="9" w:name="_Toc345943824"/>
    </w:p>
    <w:p w14:paraId="4612E7A7" w14:textId="77777777" w:rsidR="00A8502D" w:rsidRPr="00955121" w:rsidRDefault="00A8502D" w:rsidP="00955121">
      <w:pPr>
        <w:widowControl w:val="0"/>
        <w:tabs>
          <w:tab w:val="left" w:pos="567"/>
        </w:tabs>
        <w:spacing w:before="120" w:after="120" w:line="240" w:lineRule="auto"/>
        <w:ind w:firstLine="720"/>
        <w:jc w:val="both"/>
        <w:rPr>
          <w:rFonts w:ascii="Times New Roman" w:eastAsia="PMingLiU" w:hAnsi="Times New Roman" w:cs="Times New Roman"/>
          <w:iCs/>
          <w:sz w:val="28"/>
          <w:szCs w:val="28"/>
          <w:lang w:val="it-IT"/>
        </w:rPr>
      </w:pPr>
      <w:r w:rsidRPr="00955121">
        <w:rPr>
          <w:rFonts w:ascii="Times New Roman" w:eastAsia="PMingLiU" w:hAnsi="Times New Roman" w:cs="Times New Roman"/>
          <w:iCs/>
          <w:sz w:val="28"/>
          <w:szCs w:val="28"/>
          <w:lang w:val="it-IT"/>
        </w:rPr>
        <w:t>Dịch vụ xã hội</w:t>
      </w:r>
      <w:bookmarkEnd w:id="9"/>
      <w:r w:rsidRPr="00955121">
        <w:rPr>
          <w:rFonts w:ascii="Times New Roman" w:eastAsia="PMingLiU" w:hAnsi="Times New Roman" w:cs="Times New Roman"/>
          <w:iCs/>
          <w:sz w:val="28"/>
          <w:szCs w:val="28"/>
          <w:lang w:val="it-IT"/>
        </w:rPr>
        <w:t xml:space="preserve">: </w:t>
      </w:r>
    </w:p>
    <w:p w14:paraId="5E4DBD7E" w14:textId="1F3BB683" w:rsidR="00A8502D" w:rsidRDefault="00A8502D" w:rsidP="00AC23FD">
      <w:pPr>
        <w:widowControl w:val="0"/>
        <w:tabs>
          <w:tab w:val="left" w:pos="567"/>
        </w:tabs>
        <w:spacing w:before="120" w:after="120" w:line="240" w:lineRule="auto"/>
        <w:ind w:firstLine="720"/>
        <w:jc w:val="both"/>
        <w:rPr>
          <w:rFonts w:ascii="Times New Roman" w:eastAsia="PMingLiU" w:hAnsi="Times New Roman" w:cs="Times New Roman"/>
          <w:sz w:val="28"/>
          <w:szCs w:val="28"/>
          <w:lang w:val="it-IT"/>
        </w:rPr>
      </w:pPr>
      <w:r w:rsidRPr="00A8502D">
        <w:rPr>
          <w:rFonts w:ascii="Times New Roman" w:eastAsia="PMingLiU" w:hAnsi="Times New Roman" w:cs="Times New Roman"/>
          <w:sz w:val="28"/>
          <w:szCs w:val="28"/>
          <w:lang w:val="it-IT"/>
        </w:rPr>
        <w:t>Dịch vụ xã hội bao gồm các dịch vụ phi tài chính nhằm cải thiện các lĩnh vực của đời sống xã hội như giáo dục, xóa mù chữ, sức khỏe, dinh dưỡng, vệ sinh môi trường,</w:t>
      </w:r>
      <w:r w:rsidR="002E529A">
        <w:rPr>
          <w:rFonts w:ascii="Times New Roman" w:eastAsia="PMingLiU" w:hAnsi="Times New Roman" w:cs="Times New Roman"/>
          <w:sz w:val="28"/>
          <w:szCs w:val="28"/>
          <w:lang w:val="it-IT"/>
        </w:rPr>
        <w:t xml:space="preserve"> </w:t>
      </w:r>
      <w:r w:rsidRPr="00A8502D">
        <w:rPr>
          <w:rFonts w:ascii="Times New Roman" w:eastAsia="PMingLiU" w:hAnsi="Times New Roman" w:cs="Times New Roman"/>
          <w:sz w:val="28"/>
          <w:szCs w:val="28"/>
          <w:lang w:val="it-IT"/>
        </w:rPr>
        <w:t xml:space="preserve">v.v. Việc cung cấp dịch vụ này tăng thêm các giá trị cho nhóm khách hàng tài chính vi mô, giúp họ cải thiện các khía cạnh khác ngoài khía cạnh tài chính vì dịch vụ tài chính không phải là “cây đũa thần” giải quyết được mọi vấn đề cho người nghèo. Các dịch vụ này cũng có thể được thực hiện lồng ghép thông qua mạng lưới hoạt động của </w:t>
      </w:r>
      <w:r w:rsidR="00EA15F2">
        <w:rPr>
          <w:rFonts w:ascii="Times New Roman" w:eastAsia="PMingLiU" w:hAnsi="Times New Roman" w:cs="Times New Roman"/>
          <w:sz w:val="28"/>
          <w:szCs w:val="28"/>
          <w:lang w:val="it-IT"/>
        </w:rPr>
        <w:t>TCTCVM</w:t>
      </w:r>
      <w:r w:rsidRPr="00A8502D">
        <w:rPr>
          <w:rFonts w:ascii="Times New Roman" w:eastAsia="PMingLiU" w:hAnsi="Times New Roman" w:cs="Times New Roman"/>
          <w:sz w:val="28"/>
          <w:szCs w:val="28"/>
          <w:lang w:val="it-IT"/>
        </w:rPr>
        <w:t xml:space="preserve">. </w:t>
      </w:r>
    </w:p>
    <w:p w14:paraId="32362B88" w14:textId="68A834B1" w:rsidR="001953F3" w:rsidRPr="00955121" w:rsidRDefault="001953F3" w:rsidP="00955121">
      <w:pPr>
        <w:widowControl w:val="0"/>
        <w:tabs>
          <w:tab w:val="left" w:pos="567"/>
        </w:tabs>
        <w:spacing w:before="120" w:after="120" w:line="240" w:lineRule="auto"/>
        <w:ind w:firstLine="720"/>
        <w:jc w:val="right"/>
        <w:rPr>
          <w:rFonts w:ascii="Times New Roman" w:eastAsia="PMingLiU" w:hAnsi="Times New Roman" w:cs="Times New Roman"/>
          <w:b/>
          <w:bCs/>
          <w:sz w:val="24"/>
          <w:szCs w:val="24"/>
          <w:lang w:val="it-IT"/>
        </w:rPr>
      </w:pPr>
      <w:r w:rsidRPr="00955121">
        <w:rPr>
          <w:rFonts w:ascii="Times New Roman" w:eastAsia="PMingLiU" w:hAnsi="Times New Roman" w:cs="Times New Roman"/>
          <w:b/>
          <w:bCs/>
          <w:sz w:val="24"/>
          <w:szCs w:val="24"/>
          <w:lang w:val="it-IT"/>
        </w:rPr>
        <w:t>PHÍ TRỌNG HIỂN</w:t>
      </w:r>
    </w:p>
    <w:p w14:paraId="676B8415" w14:textId="41FDDA7E" w:rsidR="00A8502D" w:rsidRPr="00955121" w:rsidRDefault="00711C44" w:rsidP="00955121">
      <w:pPr>
        <w:widowControl w:val="0"/>
        <w:spacing w:before="120" w:after="120" w:line="240" w:lineRule="auto"/>
        <w:rPr>
          <w:rFonts w:ascii="Times New Roman" w:eastAsia="PMingLiU" w:hAnsi="Times New Roman" w:cs="Times New Roman"/>
          <w:b/>
          <w:sz w:val="24"/>
          <w:szCs w:val="24"/>
          <w:lang w:val="it-IT"/>
        </w:rPr>
      </w:pPr>
      <w:r w:rsidRPr="00955121">
        <w:rPr>
          <w:rFonts w:ascii="Times New Roman" w:eastAsia="PMingLiU" w:hAnsi="Times New Roman" w:cs="Times New Roman"/>
          <w:b/>
          <w:sz w:val="24"/>
          <w:szCs w:val="24"/>
          <w:lang w:val="it-IT"/>
        </w:rPr>
        <w:t>Tài liệu tham khảo</w:t>
      </w:r>
    </w:p>
    <w:p w14:paraId="747B6FD3" w14:textId="77777777" w:rsidR="00A8502D" w:rsidRPr="00955121" w:rsidRDefault="00A8502D" w:rsidP="00955121">
      <w:pPr>
        <w:widowControl w:val="0"/>
        <w:numPr>
          <w:ilvl w:val="0"/>
          <w:numId w:val="1"/>
        </w:numPr>
        <w:spacing w:before="120" w:after="120" w:line="240" w:lineRule="auto"/>
        <w:ind w:left="850" w:hanging="357"/>
        <w:jc w:val="both"/>
        <w:rPr>
          <w:rFonts w:ascii="Times New Roman" w:eastAsia="Calibri" w:hAnsi="Times New Roman" w:cs="Times New Roman"/>
          <w:sz w:val="24"/>
          <w:szCs w:val="28"/>
          <w:lang w:val="it-IT"/>
        </w:rPr>
      </w:pPr>
      <w:r w:rsidRPr="00955121">
        <w:rPr>
          <w:rFonts w:ascii="Times New Roman" w:eastAsia="Calibri" w:hAnsi="Times New Roman" w:cs="Times New Roman"/>
          <w:sz w:val="24"/>
          <w:szCs w:val="28"/>
          <w:lang w:val="it-IT"/>
        </w:rPr>
        <w:t xml:space="preserve">De Mesa, </w:t>
      </w:r>
      <w:r w:rsidRPr="00955121">
        <w:rPr>
          <w:rFonts w:ascii="Times New Roman" w:eastAsia="Calibri" w:hAnsi="Times New Roman" w:cs="Times New Roman"/>
          <w:i/>
          <w:sz w:val="24"/>
          <w:szCs w:val="28"/>
          <w:lang w:val="it-IT"/>
        </w:rPr>
        <w:t>Tổ chức cho vay tài chính vi mô: Những đóng góp vào việc tăng cường quyền lực cho Phụ nữ để nâng cao điều kiện kinh tế-xã hội của họ</w:t>
      </w:r>
      <w:r w:rsidRPr="00955121">
        <w:rPr>
          <w:rFonts w:ascii="Times New Roman" w:eastAsia="Calibri" w:hAnsi="Times New Roman" w:cs="Times New Roman"/>
          <w:sz w:val="24"/>
          <w:szCs w:val="28"/>
          <w:lang w:val="it-IT"/>
        </w:rPr>
        <w:t>, 2004.</w:t>
      </w:r>
    </w:p>
    <w:p w14:paraId="3E7DF4DA" w14:textId="77777777" w:rsidR="00A8502D" w:rsidRPr="00955121" w:rsidRDefault="00A8502D" w:rsidP="00955121">
      <w:pPr>
        <w:widowControl w:val="0"/>
        <w:numPr>
          <w:ilvl w:val="0"/>
          <w:numId w:val="1"/>
        </w:numPr>
        <w:spacing w:before="120" w:after="120" w:line="240" w:lineRule="auto"/>
        <w:ind w:left="850" w:hanging="357"/>
        <w:jc w:val="both"/>
        <w:rPr>
          <w:rFonts w:ascii="Times New Roman" w:eastAsia="Calibri" w:hAnsi="Times New Roman" w:cs="Times New Roman"/>
          <w:sz w:val="24"/>
          <w:szCs w:val="28"/>
          <w:lang w:val="it-IT"/>
        </w:rPr>
      </w:pPr>
      <w:r w:rsidRPr="00955121">
        <w:rPr>
          <w:rFonts w:ascii="Times New Roman" w:eastAsia="Calibri" w:hAnsi="Times New Roman" w:cs="Times New Roman"/>
          <w:sz w:val="24"/>
          <w:szCs w:val="28"/>
          <w:lang w:val="it-IT"/>
        </w:rPr>
        <w:t xml:space="preserve">E.Valenzuela, </w:t>
      </w:r>
      <w:r w:rsidRPr="00955121">
        <w:rPr>
          <w:rFonts w:ascii="Times New Roman" w:eastAsia="Calibri" w:hAnsi="Times New Roman" w:cs="Times New Roman"/>
          <w:i/>
          <w:sz w:val="24"/>
          <w:szCs w:val="28"/>
          <w:lang w:val="it-IT"/>
        </w:rPr>
        <w:t>Hệ thống và quy trình Hoạt động tài chính vi mô được đơn giản hóa của Trung tâm Nông nghiệp và Phát triển nông thôn: Cơ sở để cải tiến, 2004</w:t>
      </w:r>
      <w:r w:rsidRPr="00955121">
        <w:rPr>
          <w:rFonts w:ascii="Times New Roman" w:eastAsia="Calibri" w:hAnsi="Times New Roman" w:cs="Times New Roman"/>
          <w:sz w:val="24"/>
          <w:szCs w:val="28"/>
          <w:lang w:val="it-IT"/>
        </w:rPr>
        <w:t>.</w:t>
      </w:r>
    </w:p>
    <w:p w14:paraId="01272B23" w14:textId="77777777" w:rsidR="00A8502D" w:rsidRPr="00955121" w:rsidRDefault="00A8502D" w:rsidP="00955121">
      <w:pPr>
        <w:widowControl w:val="0"/>
        <w:numPr>
          <w:ilvl w:val="0"/>
          <w:numId w:val="1"/>
        </w:numPr>
        <w:spacing w:before="120" w:after="120" w:line="240" w:lineRule="auto"/>
        <w:ind w:left="850" w:hanging="357"/>
        <w:jc w:val="both"/>
        <w:rPr>
          <w:rFonts w:ascii="Times New Roman" w:eastAsia="Calibri" w:hAnsi="Times New Roman" w:cs="Times New Roman"/>
          <w:sz w:val="24"/>
          <w:szCs w:val="28"/>
          <w:lang w:val="en-US"/>
        </w:rPr>
      </w:pPr>
      <w:r w:rsidRPr="00955121">
        <w:rPr>
          <w:rFonts w:ascii="Times New Roman" w:eastAsia="Calibri" w:hAnsi="Times New Roman" w:cs="Times New Roman"/>
          <w:sz w:val="24"/>
          <w:szCs w:val="28"/>
          <w:lang w:val="en-US"/>
        </w:rPr>
        <w:t xml:space="preserve">Harry Srinivas, </w:t>
      </w:r>
      <w:r w:rsidRPr="00955121">
        <w:rPr>
          <w:rFonts w:ascii="Times New Roman" w:eastAsia="Calibri" w:hAnsi="Times New Roman" w:cs="Times New Roman"/>
          <w:i/>
          <w:sz w:val="24"/>
          <w:szCs w:val="28"/>
          <w:lang w:val="en-US"/>
        </w:rPr>
        <w:t>Microfinance: Credit lending Models, 2015.</w:t>
      </w:r>
      <w:r w:rsidRPr="00955121">
        <w:rPr>
          <w:rFonts w:ascii="Times New Roman" w:eastAsia="Calibri" w:hAnsi="Times New Roman" w:cs="Times New Roman"/>
          <w:sz w:val="24"/>
          <w:szCs w:val="28"/>
          <w:lang w:val="en-US"/>
        </w:rPr>
        <w:t xml:space="preserve"> </w:t>
      </w:r>
    </w:p>
    <w:p w14:paraId="0EC3E1EC" w14:textId="14E2CF3A" w:rsidR="00A8502D" w:rsidRPr="00955121" w:rsidRDefault="00A8502D" w:rsidP="00955121">
      <w:pPr>
        <w:widowControl w:val="0"/>
        <w:numPr>
          <w:ilvl w:val="0"/>
          <w:numId w:val="1"/>
        </w:numPr>
        <w:spacing w:before="120" w:after="120" w:line="240" w:lineRule="auto"/>
        <w:ind w:left="850" w:hanging="357"/>
        <w:jc w:val="both"/>
        <w:rPr>
          <w:rFonts w:ascii="Times New Roman" w:eastAsia="Calibri" w:hAnsi="Times New Roman" w:cs="Times New Roman"/>
          <w:sz w:val="24"/>
          <w:szCs w:val="28"/>
          <w:lang w:val="it-IT"/>
        </w:rPr>
      </w:pPr>
      <w:r w:rsidRPr="00955121">
        <w:rPr>
          <w:rFonts w:ascii="Times New Roman" w:eastAsia="Calibri" w:hAnsi="Times New Roman" w:cs="Times New Roman"/>
          <w:sz w:val="24"/>
          <w:szCs w:val="28"/>
          <w:lang w:val="it-IT"/>
        </w:rPr>
        <w:t xml:space="preserve">Học viện Phụ nữ Việt Nam, </w:t>
      </w:r>
      <w:r w:rsidRPr="00955121">
        <w:rPr>
          <w:rFonts w:ascii="Times New Roman" w:eastAsia="Calibri" w:hAnsi="Times New Roman" w:cs="Times New Roman"/>
          <w:i/>
          <w:sz w:val="24"/>
          <w:szCs w:val="28"/>
          <w:lang w:val="it-IT"/>
        </w:rPr>
        <w:t>Giáo trình quản trị tổ chức tài chính vi mô</w:t>
      </w:r>
      <w:r w:rsidR="007E16F1" w:rsidRPr="00955121">
        <w:rPr>
          <w:rFonts w:ascii="Times New Roman" w:eastAsia="Calibri" w:hAnsi="Times New Roman" w:cs="Times New Roman"/>
          <w:sz w:val="24"/>
          <w:szCs w:val="28"/>
          <w:lang w:val="it-IT"/>
        </w:rPr>
        <w:t xml:space="preserve">, Nxb. Đại học Kinh tế Quốc dân, </w:t>
      </w:r>
      <w:r w:rsidRPr="00955121">
        <w:rPr>
          <w:rFonts w:ascii="Times New Roman" w:eastAsia="Calibri" w:hAnsi="Times New Roman" w:cs="Times New Roman"/>
          <w:sz w:val="24"/>
          <w:szCs w:val="28"/>
          <w:lang w:val="it-IT"/>
        </w:rPr>
        <w:t xml:space="preserve">2018.Nguyễn Kim Anh và cộng sự, </w:t>
      </w:r>
      <w:r w:rsidRPr="00955121">
        <w:rPr>
          <w:rFonts w:ascii="Times New Roman" w:eastAsia="Calibri" w:hAnsi="Times New Roman" w:cs="Times New Roman"/>
          <w:i/>
          <w:sz w:val="24"/>
          <w:szCs w:val="28"/>
          <w:lang w:val="it-IT"/>
        </w:rPr>
        <w:t>Sản phẩm dịch vụ tài chính vi mô: Thực trạng và giải pháp phát triển</w:t>
      </w:r>
      <w:r w:rsidRPr="00955121">
        <w:rPr>
          <w:rFonts w:ascii="Times New Roman" w:eastAsia="Calibri" w:hAnsi="Times New Roman" w:cs="Times New Roman"/>
          <w:sz w:val="24"/>
          <w:szCs w:val="28"/>
          <w:lang w:val="it-IT"/>
        </w:rPr>
        <w:t>, 2016.</w:t>
      </w:r>
    </w:p>
    <w:p w14:paraId="0BBEC898" w14:textId="68088EA4" w:rsidR="00A8502D" w:rsidRPr="00955121" w:rsidRDefault="00A8502D" w:rsidP="00955121">
      <w:pPr>
        <w:widowControl w:val="0"/>
        <w:numPr>
          <w:ilvl w:val="0"/>
          <w:numId w:val="1"/>
        </w:numPr>
        <w:spacing w:before="120" w:after="120" w:line="240" w:lineRule="auto"/>
        <w:ind w:left="850" w:hanging="357"/>
        <w:jc w:val="both"/>
        <w:rPr>
          <w:rFonts w:ascii="Times New Roman" w:eastAsia="Calibri" w:hAnsi="Times New Roman" w:cs="Times New Roman"/>
          <w:sz w:val="24"/>
          <w:szCs w:val="28"/>
          <w:lang w:val="en-US"/>
        </w:rPr>
      </w:pPr>
      <w:r w:rsidRPr="00955121">
        <w:rPr>
          <w:rFonts w:ascii="Times New Roman" w:eastAsia="Calibri" w:hAnsi="Times New Roman" w:cs="Times New Roman"/>
          <w:iCs/>
          <w:sz w:val="24"/>
          <w:szCs w:val="28"/>
          <w:lang w:val="it-IT"/>
        </w:rPr>
        <w:t>Phí Trọng Hiển và Nguyễn Thị Tuyết Mai</w:t>
      </w:r>
      <w:r w:rsidR="00544DDC" w:rsidRPr="00955121">
        <w:rPr>
          <w:rFonts w:ascii="Times New Roman" w:eastAsia="Calibri" w:hAnsi="Times New Roman" w:cs="Times New Roman"/>
          <w:iCs/>
          <w:sz w:val="24"/>
          <w:szCs w:val="28"/>
          <w:lang w:val="it-IT"/>
        </w:rPr>
        <w:t xml:space="preserve">, </w:t>
      </w:r>
      <w:r w:rsidRPr="00955121">
        <w:rPr>
          <w:rFonts w:ascii="Times New Roman" w:eastAsia="Calibri" w:hAnsi="Times New Roman" w:cs="Times New Roman"/>
          <w:i/>
          <w:iCs/>
          <w:sz w:val="24"/>
          <w:szCs w:val="28"/>
          <w:lang w:val="it-IT"/>
        </w:rPr>
        <w:t>Bài toán chính sách cho hoạt động tài chính vi mô tại Việt Nam</w:t>
      </w:r>
      <w:r w:rsidR="00544DDC" w:rsidRPr="00955121">
        <w:rPr>
          <w:rFonts w:ascii="Times New Roman" w:eastAsia="Calibri" w:hAnsi="Times New Roman" w:cs="Times New Roman"/>
          <w:sz w:val="24"/>
          <w:szCs w:val="28"/>
          <w:lang w:val="it-IT"/>
        </w:rPr>
        <w:t xml:space="preserve">, </w:t>
      </w:r>
      <w:r w:rsidRPr="00955121">
        <w:rPr>
          <w:rFonts w:ascii="Times New Roman" w:eastAsia="Calibri" w:hAnsi="Times New Roman" w:cs="Times New Roman"/>
          <w:sz w:val="24"/>
          <w:szCs w:val="28"/>
          <w:lang w:val="en-US"/>
        </w:rPr>
        <w:t>Bản tin tài chính vi mô Việt Nam số 20, 2014.</w:t>
      </w:r>
    </w:p>
    <w:p w14:paraId="1981959E" w14:textId="77777777" w:rsidR="007E4107" w:rsidRPr="00955121" w:rsidRDefault="007E4107" w:rsidP="00AC23FD">
      <w:pPr>
        <w:widowControl w:val="0"/>
        <w:numPr>
          <w:ilvl w:val="0"/>
          <w:numId w:val="1"/>
        </w:numPr>
        <w:spacing w:before="120" w:after="120" w:line="240" w:lineRule="auto"/>
        <w:ind w:left="850" w:hanging="357"/>
        <w:jc w:val="both"/>
        <w:rPr>
          <w:rFonts w:ascii="Times New Roman" w:eastAsia="Calibri" w:hAnsi="Times New Roman" w:cs="Times New Roman"/>
          <w:sz w:val="24"/>
          <w:szCs w:val="28"/>
          <w:lang w:val="en-US"/>
        </w:rPr>
      </w:pPr>
      <w:r w:rsidRPr="00955121">
        <w:rPr>
          <w:rFonts w:ascii="Times New Roman" w:eastAsia="Calibri" w:hAnsi="Times New Roman" w:cs="Times New Roman"/>
          <w:sz w:val="24"/>
          <w:szCs w:val="28"/>
          <w:lang w:val="en-US"/>
        </w:rPr>
        <w:t xml:space="preserve">Muhammad Yunus, </w:t>
      </w:r>
      <w:r w:rsidRPr="00955121">
        <w:rPr>
          <w:rFonts w:ascii="Times New Roman" w:eastAsia="Calibri" w:hAnsi="Times New Roman" w:cs="Times New Roman"/>
          <w:i/>
          <w:sz w:val="24"/>
          <w:szCs w:val="28"/>
          <w:lang w:val="en-US"/>
        </w:rPr>
        <w:t>Expanding Microcredit Outreach to Reach the Millennium Development Goals, International Seminar on Attacking Poverty with Microcredit</w:t>
      </w:r>
      <w:r w:rsidRPr="00955121">
        <w:rPr>
          <w:rFonts w:ascii="Times New Roman" w:eastAsia="Calibri" w:hAnsi="Times New Roman" w:cs="Times New Roman"/>
          <w:sz w:val="24"/>
          <w:szCs w:val="28"/>
          <w:lang w:val="en-US"/>
        </w:rPr>
        <w:t xml:space="preserve">, Dhaka, Bangladesh, 2003. </w:t>
      </w:r>
    </w:p>
    <w:p w14:paraId="486071AA" w14:textId="77777777" w:rsidR="000002AF" w:rsidRDefault="000002AF" w:rsidP="00955121">
      <w:pPr>
        <w:spacing w:before="120" w:after="120" w:line="240" w:lineRule="auto"/>
      </w:pPr>
    </w:p>
    <w:sectPr w:rsidR="00000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5016"/>
    <w:multiLevelType w:val="multilevel"/>
    <w:tmpl w:val="2AA25016"/>
    <w:lvl w:ilvl="0">
      <w:start w:val="1"/>
      <w:numFmt w:val="decimal"/>
      <w:lvlText w:val="%1."/>
      <w:lvlJc w:val="left"/>
      <w:pPr>
        <w:ind w:left="851" w:hanging="360"/>
      </w:p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2D"/>
    <w:rsid w:val="000002AF"/>
    <w:rsid w:val="00023ACC"/>
    <w:rsid w:val="000D3F8E"/>
    <w:rsid w:val="000F2C31"/>
    <w:rsid w:val="0010073F"/>
    <w:rsid w:val="00116D37"/>
    <w:rsid w:val="00182172"/>
    <w:rsid w:val="001835F3"/>
    <w:rsid w:val="001953F3"/>
    <w:rsid w:val="001D512A"/>
    <w:rsid w:val="001E6403"/>
    <w:rsid w:val="00225B81"/>
    <w:rsid w:val="00272F9C"/>
    <w:rsid w:val="002E529A"/>
    <w:rsid w:val="00345D42"/>
    <w:rsid w:val="00392460"/>
    <w:rsid w:val="004322B9"/>
    <w:rsid w:val="00544DDC"/>
    <w:rsid w:val="005458F8"/>
    <w:rsid w:val="00551A5B"/>
    <w:rsid w:val="005E256A"/>
    <w:rsid w:val="005E5CA8"/>
    <w:rsid w:val="00605767"/>
    <w:rsid w:val="00611B4E"/>
    <w:rsid w:val="006A02F5"/>
    <w:rsid w:val="006C5FD3"/>
    <w:rsid w:val="006D1ADF"/>
    <w:rsid w:val="006E5907"/>
    <w:rsid w:val="00704BF2"/>
    <w:rsid w:val="00710037"/>
    <w:rsid w:val="00711C44"/>
    <w:rsid w:val="00731ADD"/>
    <w:rsid w:val="007626A3"/>
    <w:rsid w:val="00786A87"/>
    <w:rsid w:val="007E16F1"/>
    <w:rsid w:val="007E4107"/>
    <w:rsid w:val="007F47E0"/>
    <w:rsid w:val="008030C6"/>
    <w:rsid w:val="00804998"/>
    <w:rsid w:val="00810E31"/>
    <w:rsid w:val="00852205"/>
    <w:rsid w:val="008B7709"/>
    <w:rsid w:val="008C20F8"/>
    <w:rsid w:val="008F6B62"/>
    <w:rsid w:val="00912453"/>
    <w:rsid w:val="00955121"/>
    <w:rsid w:val="00976C3F"/>
    <w:rsid w:val="009B2F4D"/>
    <w:rsid w:val="009E1033"/>
    <w:rsid w:val="009E2A33"/>
    <w:rsid w:val="00A02251"/>
    <w:rsid w:val="00A36245"/>
    <w:rsid w:val="00A46CAF"/>
    <w:rsid w:val="00A63324"/>
    <w:rsid w:val="00A75ABB"/>
    <w:rsid w:val="00A8502D"/>
    <w:rsid w:val="00AA3F26"/>
    <w:rsid w:val="00AC23FD"/>
    <w:rsid w:val="00B34A96"/>
    <w:rsid w:val="00B553C7"/>
    <w:rsid w:val="00B74BF9"/>
    <w:rsid w:val="00C04685"/>
    <w:rsid w:val="00C24AD0"/>
    <w:rsid w:val="00C84C69"/>
    <w:rsid w:val="00CA4A6C"/>
    <w:rsid w:val="00CF5B4F"/>
    <w:rsid w:val="00CF6936"/>
    <w:rsid w:val="00D05EB1"/>
    <w:rsid w:val="00D2683E"/>
    <w:rsid w:val="00D631FF"/>
    <w:rsid w:val="00DA6C50"/>
    <w:rsid w:val="00E056C1"/>
    <w:rsid w:val="00E607E9"/>
    <w:rsid w:val="00EA15F2"/>
    <w:rsid w:val="00EC2E28"/>
    <w:rsid w:val="00F65E16"/>
    <w:rsid w:val="00F65EB1"/>
    <w:rsid w:val="00FD164D"/>
    <w:rsid w:val="00FF09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8502D"/>
    <w:pPr>
      <w:spacing w:line="240" w:lineRule="auto"/>
    </w:pPr>
    <w:rPr>
      <w:sz w:val="20"/>
      <w:szCs w:val="20"/>
    </w:rPr>
  </w:style>
  <w:style w:type="character" w:customStyle="1" w:styleId="CommentTextChar">
    <w:name w:val="Comment Text Char"/>
    <w:basedOn w:val="DefaultParagraphFont"/>
    <w:link w:val="CommentText"/>
    <w:uiPriority w:val="99"/>
    <w:semiHidden/>
    <w:rsid w:val="00A8502D"/>
    <w:rPr>
      <w:sz w:val="20"/>
      <w:szCs w:val="20"/>
    </w:rPr>
  </w:style>
  <w:style w:type="paragraph" w:styleId="BalloonText">
    <w:name w:val="Balloon Text"/>
    <w:basedOn w:val="Normal"/>
    <w:link w:val="BalloonTextChar"/>
    <w:uiPriority w:val="99"/>
    <w:semiHidden/>
    <w:unhideWhenUsed/>
    <w:rsid w:val="00A85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2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16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8502D"/>
    <w:pPr>
      <w:spacing w:line="240" w:lineRule="auto"/>
    </w:pPr>
    <w:rPr>
      <w:sz w:val="20"/>
      <w:szCs w:val="20"/>
    </w:rPr>
  </w:style>
  <w:style w:type="character" w:customStyle="1" w:styleId="CommentTextChar">
    <w:name w:val="Comment Text Char"/>
    <w:basedOn w:val="DefaultParagraphFont"/>
    <w:link w:val="CommentText"/>
    <w:uiPriority w:val="99"/>
    <w:semiHidden/>
    <w:rsid w:val="00A8502D"/>
    <w:rPr>
      <w:sz w:val="20"/>
      <w:szCs w:val="20"/>
    </w:rPr>
  </w:style>
  <w:style w:type="paragraph" w:styleId="BalloonText">
    <w:name w:val="Balloon Text"/>
    <w:basedOn w:val="Normal"/>
    <w:link w:val="BalloonTextChar"/>
    <w:uiPriority w:val="99"/>
    <w:semiHidden/>
    <w:unhideWhenUsed/>
    <w:rsid w:val="00A85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2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1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4</cp:revision>
  <dcterms:created xsi:type="dcterms:W3CDTF">2024-05-29T07:46:00Z</dcterms:created>
  <dcterms:modified xsi:type="dcterms:W3CDTF">2024-05-31T04:51:00Z</dcterms:modified>
</cp:coreProperties>
</file>